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color w:val="000000" w:themeColor="text1"/>
        </w:rPr>
        <w:id w:val="1133674727"/>
        <w:docPartObj>
          <w:docPartGallery w:val="Table of Contents"/>
          <w:docPartUnique/>
        </w:docPartObj>
      </w:sdtPr>
      <w:sdtEndPr>
        <w:rPr>
          <w:rFonts w:eastAsiaTheme="minorHAnsi"/>
          <w:b/>
          <w:bCs/>
          <w:sz w:val="22"/>
          <w:szCs w:val="22"/>
          <w:lang w:eastAsia="en-US"/>
        </w:rPr>
      </w:sdtEndPr>
      <w:sdtContent>
        <w:bookmarkStart w:id="0" w:name="_GoBack" w:displacedByCustomXml="prev"/>
        <w:p w:rsidR="00FA7C81" w:rsidRPr="00F618D7" w:rsidRDefault="00FA7C81">
          <w:pPr>
            <w:pStyle w:val="a3"/>
            <w:rPr>
              <w:rFonts w:ascii="Times New Roman" w:hAnsi="Times New Roman" w:cs="Times New Roman"/>
              <w:b/>
              <w:color w:val="000000" w:themeColor="text1"/>
              <w:sz w:val="28"/>
              <w:szCs w:val="28"/>
            </w:rPr>
          </w:pPr>
          <w:r w:rsidRPr="00F618D7">
            <w:rPr>
              <w:rFonts w:ascii="Times New Roman" w:hAnsi="Times New Roman" w:cs="Times New Roman"/>
              <w:b/>
              <w:color w:val="000000" w:themeColor="text1"/>
              <w:sz w:val="28"/>
              <w:szCs w:val="28"/>
            </w:rPr>
            <w:t>Оглавление</w:t>
          </w:r>
        </w:p>
        <w:bookmarkEnd w:id="0"/>
        <w:p w:rsidR="00F618D7" w:rsidRPr="00F618D7" w:rsidRDefault="00F618D7" w:rsidP="00F618D7">
          <w:pPr>
            <w:rPr>
              <w:rFonts w:ascii="Times New Roman" w:hAnsi="Times New Roman" w:cs="Times New Roman"/>
              <w:color w:val="000000" w:themeColor="text1"/>
              <w:sz w:val="28"/>
              <w:szCs w:val="28"/>
              <w:lang w:eastAsia="ru-RU"/>
            </w:rPr>
          </w:pPr>
        </w:p>
        <w:p w:rsidR="00F618D7" w:rsidRPr="00F618D7" w:rsidRDefault="00FA7C81">
          <w:pPr>
            <w:pStyle w:val="11"/>
            <w:tabs>
              <w:tab w:val="right" w:leader="dot" w:pos="9345"/>
            </w:tabs>
            <w:rPr>
              <w:rFonts w:ascii="Times New Roman" w:eastAsiaTheme="minorEastAsia" w:hAnsi="Times New Roman" w:cs="Times New Roman"/>
              <w:noProof/>
              <w:color w:val="000000" w:themeColor="text1"/>
              <w:sz w:val="28"/>
              <w:szCs w:val="28"/>
              <w:lang w:eastAsia="ru-RU"/>
            </w:rPr>
          </w:pPr>
          <w:r w:rsidRPr="00F618D7">
            <w:rPr>
              <w:rFonts w:ascii="Times New Roman" w:hAnsi="Times New Roman" w:cs="Times New Roman"/>
              <w:color w:val="000000" w:themeColor="text1"/>
              <w:sz w:val="28"/>
              <w:szCs w:val="28"/>
            </w:rPr>
            <w:fldChar w:fldCharType="begin"/>
          </w:r>
          <w:r w:rsidRPr="00F618D7">
            <w:rPr>
              <w:rFonts w:ascii="Times New Roman" w:hAnsi="Times New Roman" w:cs="Times New Roman"/>
              <w:color w:val="000000" w:themeColor="text1"/>
              <w:sz w:val="28"/>
              <w:szCs w:val="28"/>
            </w:rPr>
            <w:instrText xml:space="preserve"> TOC \o "1-3" \h \z \u </w:instrText>
          </w:r>
          <w:r w:rsidRPr="00F618D7">
            <w:rPr>
              <w:rFonts w:ascii="Times New Roman" w:hAnsi="Times New Roman" w:cs="Times New Roman"/>
              <w:color w:val="000000" w:themeColor="text1"/>
              <w:sz w:val="28"/>
              <w:szCs w:val="28"/>
            </w:rPr>
            <w:fldChar w:fldCharType="separate"/>
          </w:r>
          <w:hyperlink w:anchor="_Toc89787388" w:history="1">
            <w:r w:rsidR="00F618D7" w:rsidRPr="00F618D7">
              <w:rPr>
                <w:rStyle w:val="a4"/>
                <w:rFonts w:ascii="Times New Roman" w:hAnsi="Times New Roman" w:cs="Times New Roman"/>
                <w:noProof/>
                <w:color w:val="000000" w:themeColor="text1"/>
                <w:sz w:val="28"/>
                <w:szCs w:val="28"/>
                <w:shd w:val="clear" w:color="auto" w:fill="FFFFFF"/>
              </w:rPr>
              <w:t>1. Составить блок-схему (опорный конспект) по теме: «Равновесие и ценообразование на рынках факторов производства»</w:t>
            </w:r>
            <w:r w:rsidR="00F618D7" w:rsidRPr="00F618D7">
              <w:rPr>
                <w:rFonts w:ascii="Times New Roman" w:hAnsi="Times New Roman" w:cs="Times New Roman"/>
                <w:noProof/>
                <w:webHidden/>
                <w:color w:val="000000" w:themeColor="text1"/>
                <w:sz w:val="28"/>
                <w:szCs w:val="28"/>
              </w:rPr>
              <w:tab/>
            </w:r>
            <w:r w:rsidR="00F618D7" w:rsidRPr="00F618D7">
              <w:rPr>
                <w:rFonts w:ascii="Times New Roman" w:hAnsi="Times New Roman" w:cs="Times New Roman"/>
                <w:noProof/>
                <w:webHidden/>
                <w:color w:val="000000" w:themeColor="text1"/>
                <w:sz w:val="28"/>
                <w:szCs w:val="28"/>
              </w:rPr>
              <w:fldChar w:fldCharType="begin"/>
            </w:r>
            <w:r w:rsidR="00F618D7" w:rsidRPr="00F618D7">
              <w:rPr>
                <w:rFonts w:ascii="Times New Roman" w:hAnsi="Times New Roman" w:cs="Times New Roman"/>
                <w:noProof/>
                <w:webHidden/>
                <w:color w:val="000000" w:themeColor="text1"/>
                <w:sz w:val="28"/>
                <w:szCs w:val="28"/>
              </w:rPr>
              <w:instrText xml:space="preserve"> PAGEREF _Toc89787388 \h </w:instrText>
            </w:r>
            <w:r w:rsidR="00F618D7" w:rsidRPr="00F618D7">
              <w:rPr>
                <w:rFonts w:ascii="Times New Roman" w:hAnsi="Times New Roman" w:cs="Times New Roman"/>
                <w:noProof/>
                <w:webHidden/>
                <w:color w:val="000000" w:themeColor="text1"/>
                <w:sz w:val="28"/>
                <w:szCs w:val="28"/>
              </w:rPr>
            </w:r>
            <w:r w:rsidR="00F618D7" w:rsidRPr="00F618D7">
              <w:rPr>
                <w:rFonts w:ascii="Times New Roman" w:hAnsi="Times New Roman" w:cs="Times New Roman"/>
                <w:noProof/>
                <w:webHidden/>
                <w:color w:val="000000" w:themeColor="text1"/>
                <w:sz w:val="28"/>
                <w:szCs w:val="28"/>
              </w:rPr>
              <w:fldChar w:fldCharType="separate"/>
            </w:r>
            <w:r w:rsidR="00F618D7" w:rsidRPr="00F618D7">
              <w:rPr>
                <w:rFonts w:ascii="Times New Roman" w:hAnsi="Times New Roman" w:cs="Times New Roman"/>
                <w:noProof/>
                <w:webHidden/>
                <w:color w:val="000000" w:themeColor="text1"/>
                <w:sz w:val="28"/>
                <w:szCs w:val="28"/>
              </w:rPr>
              <w:t>2</w:t>
            </w:r>
            <w:r w:rsidR="00F618D7" w:rsidRPr="00F618D7">
              <w:rPr>
                <w:rFonts w:ascii="Times New Roman" w:hAnsi="Times New Roman" w:cs="Times New Roman"/>
                <w:noProof/>
                <w:webHidden/>
                <w:color w:val="000000" w:themeColor="text1"/>
                <w:sz w:val="28"/>
                <w:szCs w:val="28"/>
              </w:rPr>
              <w:fldChar w:fldCharType="end"/>
            </w:r>
          </w:hyperlink>
        </w:p>
        <w:p w:rsidR="00F618D7" w:rsidRPr="00F618D7" w:rsidRDefault="00F618D7">
          <w:pPr>
            <w:pStyle w:val="11"/>
            <w:tabs>
              <w:tab w:val="right" w:leader="dot" w:pos="9345"/>
            </w:tabs>
            <w:rPr>
              <w:rFonts w:ascii="Times New Roman" w:eastAsiaTheme="minorEastAsia" w:hAnsi="Times New Roman" w:cs="Times New Roman"/>
              <w:noProof/>
              <w:color w:val="000000" w:themeColor="text1"/>
              <w:sz w:val="28"/>
              <w:szCs w:val="28"/>
              <w:lang w:eastAsia="ru-RU"/>
            </w:rPr>
          </w:pPr>
          <w:hyperlink w:anchor="_Toc89787389" w:history="1">
            <w:r w:rsidRPr="00F618D7">
              <w:rPr>
                <w:rStyle w:val="a4"/>
                <w:rFonts w:ascii="Times New Roman" w:hAnsi="Times New Roman" w:cs="Times New Roman"/>
                <w:noProof/>
                <w:color w:val="000000" w:themeColor="text1"/>
                <w:sz w:val="28"/>
                <w:szCs w:val="28"/>
              </w:rPr>
              <w:t>2. Эссе на тему: «Возможно ли решение проблемы внешних эффектов»</w:t>
            </w:r>
            <w:r w:rsidRPr="00F618D7">
              <w:rPr>
                <w:rFonts w:ascii="Times New Roman" w:hAnsi="Times New Roman" w:cs="Times New Roman"/>
                <w:noProof/>
                <w:webHidden/>
                <w:color w:val="000000" w:themeColor="text1"/>
                <w:sz w:val="28"/>
                <w:szCs w:val="28"/>
              </w:rPr>
              <w:tab/>
            </w:r>
            <w:r w:rsidRPr="00F618D7">
              <w:rPr>
                <w:rFonts w:ascii="Times New Roman" w:hAnsi="Times New Roman" w:cs="Times New Roman"/>
                <w:noProof/>
                <w:webHidden/>
                <w:color w:val="000000" w:themeColor="text1"/>
                <w:sz w:val="28"/>
                <w:szCs w:val="28"/>
              </w:rPr>
              <w:fldChar w:fldCharType="begin"/>
            </w:r>
            <w:r w:rsidRPr="00F618D7">
              <w:rPr>
                <w:rFonts w:ascii="Times New Roman" w:hAnsi="Times New Roman" w:cs="Times New Roman"/>
                <w:noProof/>
                <w:webHidden/>
                <w:color w:val="000000" w:themeColor="text1"/>
                <w:sz w:val="28"/>
                <w:szCs w:val="28"/>
              </w:rPr>
              <w:instrText xml:space="preserve"> PAGEREF _Toc89787389 \h </w:instrText>
            </w:r>
            <w:r w:rsidRPr="00F618D7">
              <w:rPr>
                <w:rFonts w:ascii="Times New Roman" w:hAnsi="Times New Roman" w:cs="Times New Roman"/>
                <w:noProof/>
                <w:webHidden/>
                <w:color w:val="000000" w:themeColor="text1"/>
                <w:sz w:val="28"/>
                <w:szCs w:val="28"/>
              </w:rPr>
            </w:r>
            <w:r w:rsidRPr="00F618D7">
              <w:rPr>
                <w:rFonts w:ascii="Times New Roman" w:hAnsi="Times New Roman" w:cs="Times New Roman"/>
                <w:noProof/>
                <w:webHidden/>
                <w:color w:val="000000" w:themeColor="text1"/>
                <w:sz w:val="28"/>
                <w:szCs w:val="28"/>
              </w:rPr>
              <w:fldChar w:fldCharType="separate"/>
            </w:r>
            <w:r w:rsidRPr="00F618D7">
              <w:rPr>
                <w:rFonts w:ascii="Times New Roman" w:hAnsi="Times New Roman" w:cs="Times New Roman"/>
                <w:noProof/>
                <w:webHidden/>
                <w:color w:val="000000" w:themeColor="text1"/>
                <w:sz w:val="28"/>
                <w:szCs w:val="28"/>
              </w:rPr>
              <w:t>3</w:t>
            </w:r>
            <w:r w:rsidRPr="00F618D7">
              <w:rPr>
                <w:rFonts w:ascii="Times New Roman" w:hAnsi="Times New Roman" w:cs="Times New Roman"/>
                <w:noProof/>
                <w:webHidden/>
                <w:color w:val="000000" w:themeColor="text1"/>
                <w:sz w:val="28"/>
                <w:szCs w:val="28"/>
              </w:rPr>
              <w:fldChar w:fldCharType="end"/>
            </w:r>
          </w:hyperlink>
        </w:p>
        <w:p w:rsidR="00F618D7" w:rsidRPr="00F618D7" w:rsidRDefault="00F618D7">
          <w:pPr>
            <w:pStyle w:val="11"/>
            <w:tabs>
              <w:tab w:val="right" w:leader="dot" w:pos="9345"/>
            </w:tabs>
            <w:rPr>
              <w:rFonts w:ascii="Times New Roman" w:eastAsiaTheme="minorEastAsia" w:hAnsi="Times New Roman" w:cs="Times New Roman"/>
              <w:noProof/>
              <w:color w:val="000000" w:themeColor="text1"/>
              <w:sz w:val="28"/>
              <w:szCs w:val="28"/>
              <w:lang w:eastAsia="ru-RU"/>
            </w:rPr>
          </w:pPr>
          <w:hyperlink w:anchor="_Toc89787390" w:history="1">
            <w:r w:rsidRPr="00F618D7">
              <w:rPr>
                <w:rStyle w:val="a4"/>
                <w:rFonts w:ascii="Times New Roman" w:hAnsi="Times New Roman" w:cs="Times New Roman"/>
                <w:noProof/>
                <w:color w:val="000000" w:themeColor="text1"/>
                <w:sz w:val="28"/>
                <w:szCs w:val="28"/>
                <w:shd w:val="clear" w:color="auto" w:fill="FFFFFF"/>
              </w:rPr>
              <w:t>3. Составить кейс на тему: «Источники финансирования российских фирм»</w:t>
            </w:r>
            <w:r w:rsidRPr="00F618D7">
              <w:rPr>
                <w:rFonts w:ascii="Times New Roman" w:hAnsi="Times New Roman" w:cs="Times New Roman"/>
                <w:noProof/>
                <w:webHidden/>
                <w:color w:val="000000" w:themeColor="text1"/>
                <w:sz w:val="28"/>
                <w:szCs w:val="28"/>
              </w:rPr>
              <w:tab/>
            </w:r>
            <w:r w:rsidRPr="00F618D7">
              <w:rPr>
                <w:rFonts w:ascii="Times New Roman" w:hAnsi="Times New Roman" w:cs="Times New Roman"/>
                <w:noProof/>
                <w:webHidden/>
                <w:color w:val="000000" w:themeColor="text1"/>
                <w:sz w:val="28"/>
                <w:szCs w:val="28"/>
              </w:rPr>
              <w:fldChar w:fldCharType="begin"/>
            </w:r>
            <w:r w:rsidRPr="00F618D7">
              <w:rPr>
                <w:rFonts w:ascii="Times New Roman" w:hAnsi="Times New Roman" w:cs="Times New Roman"/>
                <w:noProof/>
                <w:webHidden/>
                <w:color w:val="000000" w:themeColor="text1"/>
                <w:sz w:val="28"/>
                <w:szCs w:val="28"/>
              </w:rPr>
              <w:instrText xml:space="preserve"> PAGEREF _Toc89787390 \h </w:instrText>
            </w:r>
            <w:r w:rsidRPr="00F618D7">
              <w:rPr>
                <w:rFonts w:ascii="Times New Roman" w:hAnsi="Times New Roman" w:cs="Times New Roman"/>
                <w:noProof/>
                <w:webHidden/>
                <w:color w:val="000000" w:themeColor="text1"/>
                <w:sz w:val="28"/>
                <w:szCs w:val="28"/>
              </w:rPr>
            </w:r>
            <w:r w:rsidRPr="00F618D7">
              <w:rPr>
                <w:rFonts w:ascii="Times New Roman" w:hAnsi="Times New Roman" w:cs="Times New Roman"/>
                <w:noProof/>
                <w:webHidden/>
                <w:color w:val="000000" w:themeColor="text1"/>
                <w:sz w:val="28"/>
                <w:szCs w:val="28"/>
              </w:rPr>
              <w:fldChar w:fldCharType="separate"/>
            </w:r>
            <w:r w:rsidRPr="00F618D7">
              <w:rPr>
                <w:rFonts w:ascii="Times New Roman" w:hAnsi="Times New Roman" w:cs="Times New Roman"/>
                <w:noProof/>
                <w:webHidden/>
                <w:color w:val="000000" w:themeColor="text1"/>
                <w:sz w:val="28"/>
                <w:szCs w:val="28"/>
              </w:rPr>
              <w:t>10</w:t>
            </w:r>
            <w:r w:rsidRPr="00F618D7">
              <w:rPr>
                <w:rFonts w:ascii="Times New Roman" w:hAnsi="Times New Roman" w:cs="Times New Roman"/>
                <w:noProof/>
                <w:webHidden/>
                <w:color w:val="000000" w:themeColor="text1"/>
                <w:sz w:val="28"/>
                <w:szCs w:val="28"/>
              </w:rPr>
              <w:fldChar w:fldCharType="end"/>
            </w:r>
          </w:hyperlink>
        </w:p>
        <w:p w:rsidR="00FA7C81" w:rsidRPr="00F618D7" w:rsidRDefault="00FA7C81">
          <w:pPr>
            <w:rPr>
              <w:rFonts w:ascii="Times New Roman" w:hAnsi="Times New Roman" w:cs="Times New Roman"/>
              <w:color w:val="000000" w:themeColor="text1"/>
            </w:rPr>
          </w:pPr>
          <w:r w:rsidRPr="00F618D7">
            <w:rPr>
              <w:rFonts w:ascii="Times New Roman" w:hAnsi="Times New Roman" w:cs="Times New Roman"/>
              <w:bCs/>
              <w:color w:val="000000" w:themeColor="text1"/>
              <w:sz w:val="28"/>
              <w:szCs w:val="28"/>
            </w:rPr>
            <w:fldChar w:fldCharType="end"/>
          </w:r>
        </w:p>
      </w:sdtContent>
    </w:sdt>
    <w:p w:rsidR="00FA7C81" w:rsidRPr="00F618D7" w:rsidRDefault="00FA7C81" w:rsidP="00FA7C81">
      <w:pPr>
        <w:pStyle w:val="1"/>
        <w:jc w:val="center"/>
        <w:rPr>
          <w:rFonts w:ascii="Times New Roman" w:hAnsi="Times New Roman" w:cs="Times New Roman"/>
          <w:b/>
          <w:color w:val="000000" w:themeColor="text1"/>
          <w:sz w:val="28"/>
          <w:szCs w:val="28"/>
          <w:shd w:val="clear" w:color="auto" w:fill="FFFFFF"/>
        </w:rPr>
      </w:pPr>
    </w:p>
    <w:p w:rsidR="00FA7C81" w:rsidRPr="00F618D7" w:rsidRDefault="00FA7C81">
      <w:pPr>
        <w:rPr>
          <w:rFonts w:ascii="Times New Roman" w:eastAsiaTheme="majorEastAsia" w:hAnsi="Times New Roman" w:cs="Times New Roman"/>
          <w:b/>
          <w:color w:val="000000" w:themeColor="text1"/>
          <w:sz w:val="28"/>
          <w:szCs w:val="28"/>
          <w:shd w:val="clear" w:color="auto" w:fill="FFFFFF"/>
        </w:rPr>
      </w:pPr>
      <w:r w:rsidRPr="00F618D7">
        <w:rPr>
          <w:rFonts w:ascii="Times New Roman" w:hAnsi="Times New Roman" w:cs="Times New Roman"/>
          <w:b/>
          <w:color w:val="000000" w:themeColor="text1"/>
          <w:sz w:val="28"/>
          <w:szCs w:val="28"/>
          <w:shd w:val="clear" w:color="auto" w:fill="FFFFFF"/>
        </w:rPr>
        <w:br w:type="page"/>
      </w:r>
    </w:p>
    <w:p w:rsidR="00FA7C81" w:rsidRPr="00F618D7" w:rsidRDefault="00FA7C81" w:rsidP="00FA7C81">
      <w:pPr>
        <w:pStyle w:val="1"/>
        <w:jc w:val="center"/>
        <w:rPr>
          <w:rFonts w:ascii="Times New Roman" w:hAnsi="Times New Roman" w:cs="Times New Roman"/>
          <w:b/>
          <w:color w:val="000000" w:themeColor="text1"/>
          <w:sz w:val="28"/>
          <w:szCs w:val="28"/>
          <w:shd w:val="clear" w:color="auto" w:fill="FFFFFF"/>
        </w:rPr>
        <w:sectPr w:rsidR="00FA7C81" w:rsidRPr="00F618D7" w:rsidSect="00F618D7">
          <w:footerReference w:type="default" r:id="rId8"/>
          <w:pgSz w:w="11906" w:h="16838"/>
          <w:pgMar w:top="1134" w:right="850" w:bottom="1134" w:left="1701" w:header="708" w:footer="708" w:gutter="0"/>
          <w:pgNumType w:start="2"/>
          <w:cols w:space="708"/>
          <w:docGrid w:linePitch="360"/>
        </w:sectPr>
      </w:pPr>
    </w:p>
    <w:p w:rsidR="007868B6" w:rsidRPr="00F618D7" w:rsidRDefault="007868B6" w:rsidP="00FA7C81">
      <w:pPr>
        <w:pStyle w:val="1"/>
        <w:jc w:val="center"/>
        <w:rPr>
          <w:rFonts w:ascii="Times New Roman" w:hAnsi="Times New Roman" w:cs="Times New Roman"/>
          <w:b/>
          <w:color w:val="000000" w:themeColor="text1"/>
          <w:sz w:val="28"/>
          <w:szCs w:val="28"/>
          <w:shd w:val="clear" w:color="auto" w:fill="FFFFFF"/>
        </w:rPr>
      </w:pPr>
      <w:bookmarkStart w:id="1" w:name="_Toc89787388"/>
      <w:r w:rsidRPr="00F618D7">
        <w:rPr>
          <w:rFonts w:ascii="Times New Roman" w:hAnsi="Times New Roman" w:cs="Times New Roman"/>
          <w:b/>
          <w:color w:val="000000" w:themeColor="text1"/>
          <w:sz w:val="28"/>
          <w:szCs w:val="28"/>
          <w:shd w:val="clear" w:color="auto" w:fill="FFFFFF"/>
        </w:rPr>
        <w:lastRenderedPageBreak/>
        <w:t>1. Составить блок-схему (опорный конспект) по теме: «Равновесие и ценообразование на</w:t>
      </w:r>
      <w:r w:rsidR="00FA7C81" w:rsidRPr="00F618D7">
        <w:rPr>
          <w:rFonts w:ascii="Times New Roman" w:hAnsi="Times New Roman" w:cs="Times New Roman"/>
          <w:b/>
          <w:color w:val="000000" w:themeColor="text1"/>
          <w:sz w:val="28"/>
          <w:szCs w:val="28"/>
          <w:shd w:val="clear" w:color="auto" w:fill="FFFFFF"/>
        </w:rPr>
        <w:t xml:space="preserve"> рынках факторов производства»</w:t>
      </w:r>
      <w:bookmarkEnd w:id="1"/>
    </w:p>
    <w:p w:rsidR="00FA7C81" w:rsidRPr="00F618D7" w:rsidRDefault="00FA7C81" w:rsidP="00FA7C81">
      <w:pPr>
        <w:jc w:val="center"/>
        <w:rPr>
          <w:rFonts w:ascii="Times New Roman" w:hAnsi="Times New Roman" w:cs="Times New Roman"/>
          <w:b/>
          <w:color w:val="000000" w:themeColor="text1"/>
          <w:sz w:val="28"/>
          <w:szCs w:val="28"/>
        </w:rPr>
      </w:pPr>
    </w:p>
    <w:p w:rsidR="007868B6" w:rsidRPr="00F618D7" w:rsidRDefault="00FA7C81" w:rsidP="00FA7C81">
      <w:pPr>
        <w:jc w:val="center"/>
        <w:rPr>
          <w:rFonts w:ascii="Times New Roman" w:hAnsi="Times New Roman" w:cs="Times New Roman"/>
          <w:b/>
          <w:color w:val="000000" w:themeColor="text1"/>
          <w:sz w:val="28"/>
          <w:szCs w:val="28"/>
          <w:shd w:val="clear" w:color="auto" w:fill="FFFFFF"/>
        </w:rPr>
      </w:pPr>
      <w:r w:rsidRPr="00F618D7">
        <w:rPr>
          <w:rFonts w:ascii="Times New Roman" w:hAnsi="Times New Roman" w:cs="Times New Roman"/>
          <w:b/>
          <w:noProof/>
          <w:color w:val="000000" w:themeColor="text1"/>
          <w:sz w:val="28"/>
          <w:szCs w:val="28"/>
          <w:shd w:val="clear" w:color="auto" w:fill="FFFFFF"/>
          <w:lang w:eastAsia="ru-RU"/>
        </w:rPr>
        <w:drawing>
          <wp:inline distT="0" distB="0" distL="0" distR="0">
            <wp:extent cx="9711541" cy="4316818"/>
            <wp:effectExtent l="0" t="0" r="444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7154" cy="4323758"/>
                    </a:xfrm>
                    <a:prstGeom prst="rect">
                      <a:avLst/>
                    </a:prstGeom>
                    <a:noFill/>
                    <a:ln>
                      <a:noFill/>
                    </a:ln>
                  </pic:spPr>
                </pic:pic>
              </a:graphicData>
            </a:graphic>
          </wp:inline>
        </w:drawing>
      </w:r>
    </w:p>
    <w:p w:rsidR="00FA7C81" w:rsidRPr="00F618D7" w:rsidRDefault="00FA7C81" w:rsidP="00FA7C81">
      <w:pPr>
        <w:jc w:val="center"/>
        <w:rPr>
          <w:rFonts w:ascii="Times New Roman" w:hAnsi="Times New Roman" w:cs="Times New Roman"/>
          <w:b/>
          <w:color w:val="000000" w:themeColor="text1"/>
          <w:sz w:val="28"/>
          <w:szCs w:val="28"/>
          <w:shd w:val="clear" w:color="auto" w:fill="FFFFFF"/>
        </w:rPr>
        <w:sectPr w:rsidR="00FA7C81" w:rsidRPr="00F618D7" w:rsidSect="00FA7C81">
          <w:pgSz w:w="16838" w:h="11906" w:orient="landscape"/>
          <w:pgMar w:top="1701" w:right="1134" w:bottom="851" w:left="1134" w:header="709" w:footer="709" w:gutter="0"/>
          <w:cols w:space="708"/>
          <w:docGrid w:linePitch="360"/>
        </w:sectPr>
      </w:pPr>
    </w:p>
    <w:p w:rsidR="007868B6" w:rsidRPr="00F618D7" w:rsidRDefault="007868B6" w:rsidP="00FA7C81">
      <w:pPr>
        <w:pStyle w:val="1"/>
        <w:jc w:val="center"/>
        <w:rPr>
          <w:rFonts w:ascii="Times New Roman" w:hAnsi="Times New Roman" w:cs="Times New Roman"/>
          <w:b/>
          <w:color w:val="000000" w:themeColor="text1"/>
          <w:sz w:val="28"/>
          <w:szCs w:val="28"/>
        </w:rPr>
      </w:pPr>
      <w:bookmarkStart w:id="2" w:name="_Toc89787389"/>
      <w:r w:rsidRPr="00F618D7">
        <w:rPr>
          <w:rFonts w:ascii="Times New Roman" w:hAnsi="Times New Roman" w:cs="Times New Roman"/>
          <w:b/>
          <w:color w:val="000000" w:themeColor="text1"/>
          <w:sz w:val="28"/>
          <w:szCs w:val="28"/>
        </w:rPr>
        <w:t>2. Эссе на тему: «Возможно ли реше</w:t>
      </w:r>
      <w:r w:rsidR="008A3A31" w:rsidRPr="00F618D7">
        <w:rPr>
          <w:rFonts w:ascii="Times New Roman" w:hAnsi="Times New Roman" w:cs="Times New Roman"/>
          <w:b/>
          <w:color w:val="000000" w:themeColor="text1"/>
          <w:sz w:val="28"/>
          <w:szCs w:val="28"/>
        </w:rPr>
        <w:t>ние проблемы внешних эффектов»</w:t>
      </w:r>
      <w:bookmarkEnd w:id="2"/>
    </w:p>
    <w:p w:rsidR="007868B6" w:rsidRPr="00F618D7" w:rsidRDefault="007868B6" w:rsidP="00FA7C81">
      <w:pPr>
        <w:spacing w:after="0" w:line="360" w:lineRule="auto"/>
        <w:ind w:firstLine="709"/>
        <w:jc w:val="both"/>
        <w:rPr>
          <w:rFonts w:ascii="Times New Roman" w:hAnsi="Times New Roman" w:cs="Times New Roman"/>
          <w:color w:val="000000" w:themeColor="text1"/>
          <w:sz w:val="28"/>
          <w:szCs w:val="28"/>
          <w:shd w:val="clear" w:color="auto" w:fill="FFFFFF"/>
        </w:rPr>
      </w:pP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Внешние эффекты</w:t>
      </w:r>
      <w:r w:rsidR="00753C13" w:rsidRPr="00F618D7">
        <w:rPr>
          <w:rFonts w:ascii="Times New Roman" w:hAnsi="Times New Roman" w:cs="Times New Roman"/>
          <w:color w:val="000000" w:themeColor="text1"/>
          <w:sz w:val="28"/>
          <w:szCs w:val="28"/>
        </w:rPr>
        <w:t xml:space="preserve"> (</w:t>
      </w:r>
      <w:r w:rsidR="00753C13" w:rsidRPr="00F618D7">
        <w:rPr>
          <w:rFonts w:ascii="Times New Roman" w:hAnsi="Times New Roman" w:cs="Times New Roman"/>
          <w:color w:val="000000" w:themeColor="text1"/>
          <w:sz w:val="28"/>
          <w:szCs w:val="28"/>
          <w:shd w:val="clear" w:color="auto" w:fill="FFFFFF"/>
        </w:rPr>
        <w:t xml:space="preserve">экстерналии)   </w:t>
      </w:r>
      <w:r w:rsidRPr="00F618D7">
        <w:rPr>
          <w:rFonts w:ascii="Times New Roman" w:hAnsi="Times New Roman" w:cs="Times New Roman"/>
          <w:color w:val="000000" w:themeColor="text1"/>
          <w:sz w:val="28"/>
          <w:szCs w:val="28"/>
          <w:shd w:val="clear" w:color="auto" w:fill="FFFFFF"/>
        </w:rPr>
        <w:t xml:space="preserve"> — это термин, который, был введен впервые Альфредом Маршаллом, а затем Пигу — двумя неокл</w:t>
      </w:r>
      <w:r w:rsidRPr="00F618D7">
        <w:rPr>
          <w:rFonts w:ascii="Times New Roman" w:hAnsi="Times New Roman" w:cs="Times New Roman"/>
          <w:color w:val="000000" w:themeColor="text1"/>
          <w:sz w:val="28"/>
          <w:szCs w:val="28"/>
          <w:shd w:val="clear" w:color="auto" w:fill="FFFFFF"/>
        </w:rPr>
        <w:t>ассическими экономистами. До до</w:t>
      </w:r>
      <w:r w:rsidRPr="00F618D7">
        <w:rPr>
          <w:rFonts w:ascii="Times New Roman" w:hAnsi="Times New Roman" w:cs="Times New Roman"/>
          <w:color w:val="000000" w:themeColor="text1"/>
          <w:sz w:val="28"/>
          <w:szCs w:val="28"/>
          <w:shd w:val="clear" w:color="auto" w:fill="FFFFFF"/>
        </w:rPr>
        <w:t xml:space="preserve">военных лет этот термин относился к условиям затрат и выгод в </w:t>
      </w:r>
      <w:r w:rsidRPr="00F618D7">
        <w:rPr>
          <w:rFonts w:ascii="Times New Roman" w:hAnsi="Times New Roman" w:cs="Times New Roman"/>
          <w:color w:val="000000" w:themeColor="text1"/>
          <w:sz w:val="28"/>
          <w:szCs w:val="28"/>
          <w:shd w:val="clear" w:color="auto" w:fill="FFFFFF"/>
        </w:rPr>
        <w:t xml:space="preserve">экономике и </w:t>
      </w:r>
      <w:r w:rsidRPr="00F618D7">
        <w:rPr>
          <w:rFonts w:ascii="Times New Roman" w:hAnsi="Times New Roman" w:cs="Times New Roman"/>
          <w:color w:val="000000" w:themeColor="text1"/>
          <w:sz w:val="28"/>
          <w:szCs w:val="28"/>
          <w:shd w:val="clear" w:color="auto" w:fill="FFFFFF"/>
        </w:rPr>
        <w:t>промышленности. Впервые он был применен к окружающей среде по предложению Пигу в Лондоне в 1920 году</w:t>
      </w:r>
      <w:r w:rsidRPr="00F618D7">
        <w:rPr>
          <w:rFonts w:ascii="Times New Roman" w:hAnsi="Times New Roman" w:cs="Times New Roman"/>
          <w:color w:val="000000" w:themeColor="text1"/>
          <w:sz w:val="28"/>
          <w:szCs w:val="28"/>
          <w:shd w:val="clear" w:color="auto" w:fill="FFFFFF"/>
        </w:rPr>
        <w:t>, как</w:t>
      </w:r>
      <w:r w:rsidRPr="00F618D7">
        <w:rPr>
          <w:rFonts w:ascii="Times New Roman" w:hAnsi="Times New Roman" w:cs="Times New Roman"/>
          <w:color w:val="000000" w:themeColor="text1"/>
          <w:sz w:val="28"/>
          <w:szCs w:val="28"/>
          <w:shd w:val="clear" w:color="auto" w:fill="FFFFFF"/>
        </w:rPr>
        <w:t xml:space="preserve"> о налоге на выбросы загрязняющих веществ из-за ситуации, которая была создана в Лондоне после Первой мировой войны.</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До 1960 года среди тех, кто занимался внешними эффектами, были: Мид, Сцитовский, Винер, Аллин Янг, Робертсон, Долан, Сраффа, Найт, Эллис, Фельнер, Самуэльсон, Линданл, Масгрейв, Боуэн, Кларк, Розенштейн-Родан, Сиджвик, Эккаус, Флеминг и Фрэнсис Батор.</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Можно сказать, что это ключевой термин </w:t>
      </w:r>
      <w:r w:rsidRPr="00F618D7">
        <w:rPr>
          <w:rFonts w:ascii="Times New Roman" w:hAnsi="Times New Roman" w:cs="Times New Roman"/>
          <w:color w:val="000000" w:themeColor="text1"/>
          <w:sz w:val="28"/>
          <w:szCs w:val="28"/>
          <w:shd w:val="clear" w:color="auto" w:fill="FFFFFF"/>
        </w:rPr>
        <w:t xml:space="preserve">«внешний эффект» применяется </w:t>
      </w:r>
      <w:r w:rsidRPr="00F618D7">
        <w:rPr>
          <w:rFonts w:ascii="Times New Roman" w:hAnsi="Times New Roman" w:cs="Times New Roman"/>
          <w:color w:val="000000" w:themeColor="text1"/>
          <w:sz w:val="28"/>
          <w:szCs w:val="28"/>
          <w:shd w:val="clear" w:color="auto" w:fill="FFFFFF"/>
        </w:rPr>
        <w:t>для интеграции эколого-экономической политики и для формирования стратегий и инструментов устойчивого развития. Этот термин относится к тем случаям, когда мы не в состоянии сделать комплексную экономическую оценку,и где мы также имеем дело с неделимыми товарами или с косвенными эффектами, с которыми не может справиться механизм рынка. Эти случаи рассматриваются либо с помощью инструментов планового регулирования рынка, либо с помощью функционирования рынка, которое учитывает не только индивидуальные, но и коллективные и социальные издержки и выгоды</w:t>
      </w:r>
      <w:r w:rsidR="00FA7C81" w:rsidRPr="00F618D7">
        <w:rPr>
          <w:rStyle w:val="a8"/>
          <w:rFonts w:ascii="Times New Roman" w:hAnsi="Times New Roman" w:cs="Times New Roman"/>
          <w:color w:val="000000" w:themeColor="text1"/>
          <w:sz w:val="28"/>
          <w:szCs w:val="28"/>
          <w:shd w:val="clear" w:color="auto" w:fill="FFFFFF"/>
        </w:rPr>
        <w:footnoteReference w:id="1"/>
      </w:r>
      <w:r w:rsidRPr="00F618D7">
        <w:rPr>
          <w:rFonts w:ascii="Times New Roman" w:hAnsi="Times New Roman" w:cs="Times New Roman"/>
          <w:color w:val="000000" w:themeColor="text1"/>
          <w:sz w:val="28"/>
          <w:szCs w:val="28"/>
          <w:shd w:val="clear" w:color="auto" w:fill="FFFFFF"/>
        </w:rPr>
        <w:t>.</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Можно </w:t>
      </w:r>
      <w:r w:rsidRPr="00F618D7">
        <w:rPr>
          <w:rFonts w:ascii="Times New Roman" w:hAnsi="Times New Roman" w:cs="Times New Roman"/>
          <w:color w:val="000000" w:themeColor="text1"/>
          <w:sz w:val="28"/>
          <w:szCs w:val="28"/>
          <w:shd w:val="clear" w:color="auto" w:fill="FFFFFF"/>
        </w:rPr>
        <w:t>приве</w:t>
      </w:r>
      <w:r w:rsidRPr="00F618D7">
        <w:rPr>
          <w:rFonts w:ascii="Times New Roman" w:hAnsi="Times New Roman" w:cs="Times New Roman"/>
          <w:color w:val="000000" w:themeColor="text1"/>
          <w:sz w:val="28"/>
          <w:szCs w:val="28"/>
          <w:shd w:val="clear" w:color="auto" w:fill="FFFFFF"/>
        </w:rPr>
        <w:t xml:space="preserve">сти </w:t>
      </w:r>
      <w:r w:rsidRPr="00F618D7">
        <w:rPr>
          <w:rFonts w:ascii="Times New Roman" w:hAnsi="Times New Roman" w:cs="Times New Roman"/>
          <w:color w:val="000000" w:themeColor="text1"/>
          <w:sz w:val="28"/>
          <w:szCs w:val="28"/>
          <w:shd w:val="clear" w:color="auto" w:fill="FFFFFF"/>
        </w:rPr>
        <w:t>много примеров внешних эффектов. Положительные внешние эффекты называются</w:t>
      </w:r>
      <w:r w:rsidRPr="00F618D7">
        <w:rPr>
          <w:rFonts w:ascii="Times New Roman" w:hAnsi="Times New Roman" w:cs="Times New Roman"/>
          <w:color w:val="000000" w:themeColor="text1"/>
          <w:sz w:val="28"/>
          <w:szCs w:val="28"/>
          <w:shd w:val="clear" w:color="auto" w:fill="FFFFFF"/>
        </w:rPr>
        <w:t xml:space="preserve"> </w:t>
      </w:r>
      <w:r w:rsidRPr="00F618D7">
        <w:rPr>
          <w:rFonts w:ascii="Times New Roman" w:hAnsi="Times New Roman" w:cs="Times New Roman"/>
          <w:color w:val="000000" w:themeColor="text1"/>
          <w:sz w:val="28"/>
          <w:szCs w:val="28"/>
          <w:shd w:val="clear" w:color="auto" w:fill="FFFFFF"/>
        </w:rPr>
        <w:t>«внешней экономикой»,</w:t>
      </w:r>
      <w:r w:rsidRPr="00F618D7">
        <w:rPr>
          <w:rFonts w:ascii="Times New Roman" w:hAnsi="Times New Roman" w:cs="Times New Roman"/>
          <w:color w:val="000000" w:themeColor="text1"/>
          <w:sz w:val="28"/>
          <w:szCs w:val="28"/>
          <w:shd w:val="clear" w:color="auto" w:fill="FFFFFF"/>
        </w:rPr>
        <w:t xml:space="preserve"> </w:t>
      </w:r>
      <w:r w:rsidRPr="00F618D7">
        <w:rPr>
          <w:rFonts w:ascii="Times New Roman" w:hAnsi="Times New Roman" w:cs="Times New Roman"/>
          <w:color w:val="000000" w:themeColor="text1"/>
          <w:sz w:val="28"/>
          <w:szCs w:val="28"/>
          <w:shd w:val="clear" w:color="auto" w:fill="FFFFFF"/>
        </w:rPr>
        <w:t xml:space="preserve">а отрицательные —«внешней дезэкономией». Каждый из них </w:t>
      </w:r>
      <w:r w:rsidRPr="00F618D7">
        <w:rPr>
          <w:rFonts w:ascii="Times New Roman" w:hAnsi="Times New Roman" w:cs="Times New Roman"/>
          <w:color w:val="000000" w:themeColor="text1"/>
          <w:sz w:val="28"/>
          <w:szCs w:val="28"/>
          <w:shd w:val="clear" w:color="auto" w:fill="FFFFFF"/>
        </w:rPr>
        <w:t>демонстрирует</w:t>
      </w:r>
      <w:r w:rsidRPr="00F618D7">
        <w:rPr>
          <w:rFonts w:ascii="Times New Roman" w:hAnsi="Times New Roman" w:cs="Times New Roman"/>
          <w:color w:val="000000" w:themeColor="text1"/>
          <w:sz w:val="28"/>
          <w:szCs w:val="28"/>
          <w:shd w:val="clear" w:color="auto" w:fill="FFFFFF"/>
        </w:rPr>
        <w:t xml:space="preserve"> конкретные категорий. Эти категории служат примерами, которые помогают нам понять и определить «побочные эффекты». Например, в качестве примеров, можно привести влияние на туризм со стороны зоны промышленного развития или положительное влияние на пчеловодство близости роя к лесу или частной собственности с яблонями или вишнями. Эти примеры приводят нас к более целостному подходу к вопросу о правах и собственности, вопросу делимости товаров и </w:t>
      </w:r>
      <w:r w:rsidRPr="00F618D7">
        <w:rPr>
          <w:rFonts w:ascii="Times New Roman" w:hAnsi="Times New Roman" w:cs="Times New Roman"/>
          <w:color w:val="000000" w:themeColor="text1"/>
          <w:sz w:val="28"/>
          <w:szCs w:val="28"/>
          <w:shd w:val="clear" w:color="auto" w:fill="FFFFFF"/>
        </w:rPr>
        <w:t>управлению неделимыми товарами</w:t>
      </w:r>
      <w:r w:rsidR="00FA7C81" w:rsidRPr="00F618D7">
        <w:rPr>
          <w:rStyle w:val="a8"/>
          <w:rFonts w:ascii="Times New Roman" w:hAnsi="Times New Roman" w:cs="Times New Roman"/>
          <w:color w:val="000000" w:themeColor="text1"/>
          <w:sz w:val="28"/>
          <w:szCs w:val="28"/>
          <w:shd w:val="clear" w:color="auto" w:fill="FFFFFF"/>
        </w:rPr>
        <w:footnoteReference w:id="2"/>
      </w:r>
      <w:r w:rsidRPr="00F618D7">
        <w:rPr>
          <w:rFonts w:ascii="Times New Roman" w:hAnsi="Times New Roman" w:cs="Times New Roman"/>
          <w:color w:val="000000" w:themeColor="text1"/>
          <w:sz w:val="28"/>
          <w:szCs w:val="28"/>
          <w:shd w:val="clear" w:color="auto" w:fill="FFFFFF"/>
        </w:rPr>
        <w:t>.</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Через управление внешними эффектами возникает важность политического регулирования для экономики, как на государственном, так и на международном, и на местном уровне, которое имеет отношение к местному самоуправлению и государственным учреждениям. Внешние последствия служат юрисдикционным рычагом для разрешений на загрязнение, для наложения штрафов или для калькуляции стоимости разрешений на производственную деятельность, или для предоставления субсидий на устойчивую адаптацию и производственную деятельность и т.д.</w:t>
      </w:r>
    </w:p>
    <w:p w:rsidR="00753C13" w:rsidRPr="00F618D7" w:rsidRDefault="00753C13" w:rsidP="00FA7C81">
      <w:pPr>
        <w:pStyle w:val="para"/>
        <w:spacing w:before="0" w:beforeAutospacing="0" w:after="0" w:afterAutospacing="0" w:line="360" w:lineRule="auto"/>
        <w:ind w:firstLine="709"/>
        <w:jc w:val="both"/>
        <w:rPr>
          <w:color w:val="000000" w:themeColor="text1"/>
          <w:sz w:val="28"/>
          <w:szCs w:val="28"/>
        </w:rPr>
      </w:pPr>
      <w:r w:rsidRPr="00F618D7">
        <w:rPr>
          <w:color w:val="000000" w:themeColor="text1"/>
          <w:sz w:val="28"/>
          <w:szCs w:val="28"/>
        </w:rPr>
        <w:t xml:space="preserve">Загрязнение является классическим примером. Когда другой человек покупает и курит сигареты, происходит сделка между сигаретной компанией и курильщиком. Но если </w:t>
      </w:r>
      <w:r w:rsidRPr="00F618D7">
        <w:rPr>
          <w:color w:val="000000" w:themeColor="text1"/>
          <w:sz w:val="28"/>
          <w:szCs w:val="28"/>
        </w:rPr>
        <w:t xml:space="preserve">человек </w:t>
      </w:r>
      <w:r w:rsidRPr="00F618D7">
        <w:rPr>
          <w:color w:val="000000" w:themeColor="text1"/>
          <w:sz w:val="28"/>
          <w:szCs w:val="28"/>
        </w:rPr>
        <w:t xml:space="preserve"> сидит рядом с курильщиком, </w:t>
      </w:r>
      <w:r w:rsidRPr="00F618D7">
        <w:rPr>
          <w:color w:val="000000" w:themeColor="text1"/>
          <w:sz w:val="28"/>
          <w:szCs w:val="28"/>
        </w:rPr>
        <w:t>он</w:t>
      </w:r>
      <w:r w:rsidRPr="00F618D7">
        <w:rPr>
          <w:color w:val="000000" w:themeColor="text1"/>
          <w:sz w:val="28"/>
          <w:szCs w:val="28"/>
        </w:rPr>
        <w:t xml:space="preserve"> являетс</w:t>
      </w:r>
      <w:r w:rsidRPr="00F618D7">
        <w:rPr>
          <w:color w:val="000000" w:themeColor="text1"/>
          <w:sz w:val="28"/>
          <w:szCs w:val="28"/>
        </w:rPr>
        <w:t>я</w:t>
      </w:r>
      <w:r w:rsidRPr="00F618D7">
        <w:rPr>
          <w:color w:val="000000" w:themeColor="text1"/>
          <w:sz w:val="28"/>
          <w:szCs w:val="28"/>
        </w:rPr>
        <w:t xml:space="preserve"> пострадавшей стороной, которая не получает прямой компенсации от сделки, по крайней мере, до того, как были введены налоги на сигареты. Точно так же </w:t>
      </w:r>
      <w:r w:rsidRPr="00F618D7">
        <w:rPr>
          <w:color w:val="000000" w:themeColor="text1"/>
          <w:sz w:val="28"/>
          <w:szCs w:val="28"/>
        </w:rPr>
        <w:t xml:space="preserve">человек </w:t>
      </w:r>
      <w:r w:rsidRPr="00F618D7">
        <w:rPr>
          <w:color w:val="000000" w:themeColor="text1"/>
          <w:sz w:val="28"/>
          <w:szCs w:val="28"/>
        </w:rPr>
        <w:t xml:space="preserve">ничего не платит за выгоды, которые получает от просмотра цветов </w:t>
      </w:r>
      <w:r w:rsidRPr="00F618D7">
        <w:rPr>
          <w:color w:val="000000" w:themeColor="text1"/>
          <w:sz w:val="28"/>
          <w:szCs w:val="28"/>
        </w:rPr>
        <w:t>на клумбе</w:t>
      </w:r>
      <w:r w:rsidRPr="00F618D7">
        <w:rPr>
          <w:color w:val="000000" w:themeColor="text1"/>
          <w:sz w:val="28"/>
          <w:szCs w:val="28"/>
        </w:rPr>
        <w:t xml:space="preserve">, и нет прямого механизма, чтобы вознаградить </w:t>
      </w:r>
      <w:r w:rsidRPr="00F618D7">
        <w:rPr>
          <w:color w:val="000000" w:themeColor="text1"/>
          <w:sz w:val="28"/>
          <w:szCs w:val="28"/>
        </w:rPr>
        <w:t xml:space="preserve">людей их посадивших </w:t>
      </w:r>
      <w:r w:rsidRPr="00F618D7">
        <w:rPr>
          <w:color w:val="000000" w:themeColor="text1"/>
          <w:sz w:val="28"/>
          <w:szCs w:val="28"/>
        </w:rPr>
        <w:t xml:space="preserve">за </w:t>
      </w:r>
      <w:r w:rsidRPr="00F618D7">
        <w:rPr>
          <w:color w:val="000000" w:themeColor="text1"/>
          <w:sz w:val="28"/>
          <w:szCs w:val="28"/>
        </w:rPr>
        <w:t>их</w:t>
      </w:r>
      <w:r w:rsidRPr="00F618D7">
        <w:rPr>
          <w:color w:val="000000" w:themeColor="text1"/>
          <w:sz w:val="28"/>
          <w:szCs w:val="28"/>
        </w:rPr>
        <w:t xml:space="preserve"> усилия.</w:t>
      </w:r>
    </w:p>
    <w:p w:rsidR="00753C13" w:rsidRPr="00F618D7" w:rsidRDefault="00753C13" w:rsidP="00FA7C81">
      <w:pPr>
        <w:pStyle w:val="para"/>
        <w:spacing w:before="0" w:beforeAutospacing="0" w:after="0" w:afterAutospacing="0" w:line="360" w:lineRule="auto"/>
        <w:ind w:firstLine="709"/>
        <w:jc w:val="both"/>
        <w:rPr>
          <w:color w:val="000000" w:themeColor="text1"/>
          <w:sz w:val="28"/>
          <w:szCs w:val="28"/>
        </w:rPr>
      </w:pPr>
      <w:r w:rsidRPr="00F618D7">
        <w:rPr>
          <w:color w:val="000000" w:themeColor="text1"/>
          <w:sz w:val="28"/>
          <w:szCs w:val="28"/>
        </w:rPr>
        <w:t>Внешние факторы, как правило, приводят к тому, что конкурентные рынки ведут себя неэффективно с социальной точки зрения, при отсутствии механизма вовлечения всех затрагиваемых сторон. Без такого механизма цветочница поса</w:t>
      </w:r>
      <w:r w:rsidRPr="00F618D7">
        <w:rPr>
          <w:color w:val="000000" w:themeColor="text1"/>
          <w:sz w:val="28"/>
          <w:szCs w:val="28"/>
        </w:rPr>
        <w:t>д</w:t>
      </w:r>
      <w:r w:rsidRPr="00F618D7">
        <w:rPr>
          <w:color w:val="000000" w:themeColor="text1"/>
          <w:sz w:val="28"/>
          <w:szCs w:val="28"/>
        </w:rPr>
        <w:t xml:space="preserve">ит слишком мало красивых цветов, ибо у нее нет причин учитывать предпочтения </w:t>
      </w:r>
      <w:r w:rsidRPr="00F618D7">
        <w:rPr>
          <w:color w:val="000000" w:themeColor="text1"/>
          <w:sz w:val="28"/>
          <w:szCs w:val="28"/>
        </w:rPr>
        <w:t xml:space="preserve">окружающих </w:t>
      </w:r>
      <w:r w:rsidRPr="00F618D7">
        <w:rPr>
          <w:color w:val="000000" w:themeColor="text1"/>
          <w:sz w:val="28"/>
          <w:szCs w:val="28"/>
        </w:rPr>
        <w:t>в своем выборе. Одиозный курильщик будет курить слишком много и слишком близко к другим, а громкий сосед будет играть музыку слишком поздно ночью. Внешние эффекты создают </w:t>
      </w:r>
      <w:r w:rsidRPr="00F618D7">
        <w:rPr>
          <w:rStyle w:val="marginterm"/>
          <w:color w:val="000000" w:themeColor="text1"/>
          <w:sz w:val="28"/>
          <w:szCs w:val="28"/>
        </w:rPr>
        <w:t>провал рынка</w:t>
      </w:r>
      <w:r w:rsidRPr="00F618D7">
        <w:rPr>
          <w:color w:val="000000" w:themeColor="text1"/>
          <w:sz w:val="28"/>
          <w:szCs w:val="28"/>
        </w:rPr>
        <w:t>— то есть ситуация, когда конкурентный рынок не дает социально эффективного результата.</w:t>
      </w:r>
    </w:p>
    <w:p w:rsidR="00753C13" w:rsidRPr="00F618D7" w:rsidRDefault="00753C13" w:rsidP="00FA7C81">
      <w:pPr>
        <w:pStyle w:val="para"/>
        <w:spacing w:before="0" w:beforeAutospacing="0" w:after="0" w:afterAutospacing="0" w:line="360" w:lineRule="auto"/>
        <w:ind w:firstLine="709"/>
        <w:jc w:val="both"/>
        <w:rPr>
          <w:color w:val="000000" w:themeColor="text1"/>
          <w:sz w:val="28"/>
          <w:szCs w:val="28"/>
        </w:rPr>
      </w:pPr>
      <w:r w:rsidRPr="00F618D7">
        <w:rPr>
          <w:color w:val="000000" w:themeColor="text1"/>
          <w:sz w:val="28"/>
          <w:szCs w:val="28"/>
        </w:rPr>
        <w:t>Образование рассматривается как важный позитивный внешний фактор. Образование порождает множество внешних факторов, в том числе занятость</w:t>
      </w:r>
      <w:r w:rsidRPr="00F618D7">
        <w:rPr>
          <w:color w:val="000000" w:themeColor="text1"/>
          <w:sz w:val="28"/>
          <w:szCs w:val="28"/>
        </w:rPr>
        <w:t xml:space="preserve"> населения</w:t>
      </w:r>
      <w:r w:rsidRPr="00F618D7">
        <w:rPr>
          <w:color w:val="000000" w:themeColor="text1"/>
          <w:sz w:val="28"/>
          <w:szCs w:val="28"/>
        </w:rPr>
        <w:t xml:space="preserve">, </w:t>
      </w:r>
      <w:r w:rsidRPr="00F618D7">
        <w:rPr>
          <w:color w:val="000000" w:themeColor="text1"/>
          <w:sz w:val="28"/>
          <w:szCs w:val="28"/>
        </w:rPr>
        <w:t xml:space="preserve">снижение </w:t>
      </w:r>
      <w:r w:rsidRPr="00F618D7">
        <w:rPr>
          <w:color w:val="000000" w:themeColor="text1"/>
          <w:sz w:val="28"/>
          <w:szCs w:val="28"/>
        </w:rPr>
        <w:t>преступности и меньше негативных внешних эффектов других видов. Широко распространено мнение, что образованные избиратели выбирают лучших политиков. </w:t>
      </w:r>
      <w:r w:rsidRPr="00F618D7">
        <w:rPr>
          <w:rStyle w:val="footnote"/>
          <w:color w:val="000000" w:themeColor="text1"/>
          <w:sz w:val="28"/>
          <w:szCs w:val="28"/>
        </w:rPr>
        <w:t>Это логичное предположение, но доказательств в его пользу мало. Есть свидетельства того, что образованные избиратели с большей вероятностью будут голосовать, но мало доказательств того, что они будут голосовать за лучших кандидатов.</w:t>
      </w:r>
      <w:r w:rsidRPr="00F618D7">
        <w:rPr>
          <w:color w:val="000000" w:themeColor="text1"/>
          <w:sz w:val="28"/>
          <w:szCs w:val="28"/>
        </w:rPr>
        <w:t> Образованные люди, как правило, делают общество богатым, что является преимуществом для всех членов общества. Как следствие, большинство обществ субсидируют образование в целях его поощрения</w:t>
      </w:r>
      <w:r w:rsidR="00FA7C81" w:rsidRPr="00F618D7">
        <w:rPr>
          <w:rStyle w:val="a8"/>
          <w:color w:val="000000" w:themeColor="text1"/>
          <w:sz w:val="28"/>
          <w:szCs w:val="28"/>
        </w:rPr>
        <w:footnoteReference w:id="3"/>
      </w:r>
      <w:r w:rsidRPr="00F618D7">
        <w:rPr>
          <w:color w:val="000000" w:themeColor="text1"/>
          <w:sz w:val="28"/>
          <w:szCs w:val="28"/>
        </w:rPr>
        <w:t>.</w:t>
      </w:r>
    </w:p>
    <w:p w:rsidR="00753C13" w:rsidRPr="00F618D7" w:rsidRDefault="00753C13" w:rsidP="00FA7C81">
      <w:pPr>
        <w:pStyle w:val="para"/>
        <w:spacing w:before="0" w:beforeAutospacing="0" w:after="0" w:afterAutospacing="0" w:line="360" w:lineRule="auto"/>
        <w:ind w:firstLine="709"/>
        <w:jc w:val="both"/>
        <w:rPr>
          <w:color w:val="000000" w:themeColor="text1"/>
          <w:sz w:val="28"/>
          <w:szCs w:val="28"/>
        </w:rPr>
      </w:pPr>
      <w:r w:rsidRPr="00F618D7">
        <w:rPr>
          <w:color w:val="000000" w:themeColor="text1"/>
          <w:sz w:val="28"/>
          <w:szCs w:val="28"/>
        </w:rPr>
        <w:t xml:space="preserve">Основным источником внешних факторов являются инфекционные заболевания. </w:t>
      </w:r>
      <w:r w:rsidRPr="00F618D7">
        <w:rPr>
          <w:color w:val="000000" w:themeColor="text1"/>
          <w:sz w:val="28"/>
          <w:szCs w:val="28"/>
        </w:rPr>
        <w:t xml:space="preserve">Так, </w:t>
      </w:r>
      <w:r w:rsidRPr="00F618D7">
        <w:rPr>
          <w:color w:val="000000" w:themeColor="text1"/>
          <w:sz w:val="28"/>
          <w:szCs w:val="28"/>
        </w:rPr>
        <w:t xml:space="preserve"> вакцинация не только снижает вероятность того, что </w:t>
      </w:r>
      <w:r w:rsidRPr="00F618D7">
        <w:rPr>
          <w:color w:val="000000" w:themeColor="text1"/>
          <w:sz w:val="28"/>
          <w:szCs w:val="28"/>
        </w:rPr>
        <w:t xml:space="preserve">человек </w:t>
      </w:r>
      <w:r w:rsidRPr="00F618D7">
        <w:rPr>
          <w:color w:val="000000" w:themeColor="text1"/>
          <w:sz w:val="28"/>
          <w:szCs w:val="28"/>
        </w:rPr>
        <w:t>заразит</w:t>
      </w:r>
      <w:r w:rsidRPr="00F618D7">
        <w:rPr>
          <w:color w:val="000000" w:themeColor="text1"/>
          <w:sz w:val="28"/>
          <w:szCs w:val="28"/>
        </w:rPr>
        <w:t>ся</w:t>
      </w:r>
      <w:r w:rsidRPr="00F618D7">
        <w:rPr>
          <w:color w:val="000000" w:themeColor="text1"/>
          <w:sz w:val="28"/>
          <w:szCs w:val="28"/>
        </w:rPr>
        <w:t xml:space="preserve"> болезнью, но и снижает вероятность того, что </w:t>
      </w:r>
      <w:r w:rsidRPr="00F618D7">
        <w:rPr>
          <w:color w:val="000000" w:themeColor="text1"/>
          <w:sz w:val="28"/>
          <w:szCs w:val="28"/>
        </w:rPr>
        <w:t>он</w:t>
      </w:r>
      <w:r w:rsidRPr="00F618D7">
        <w:rPr>
          <w:color w:val="000000" w:themeColor="text1"/>
          <w:sz w:val="28"/>
          <w:szCs w:val="28"/>
        </w:rPr>
        <w:t xml:space="preserve"> заразит других этой болезнью.</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Институциональные внешние эффекты связаны с внешним эффектом, которым обладают институты в процессе производства и потребления и в формировании условий функционирования развития и рынка. Примером институциональной внешней экономики является функционирование Омбудсмена по окружающей среде.</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Институциональные внешние эффекты можно разделить на эффекты институционального климата и эффекты институционального применения. К последствиям политического климата относятся те воздействия, которые оказываются на тех субъектов (предпринимателей, граждан, местные органы власти и т.д.), которые влияют на окружающую среду посредством оценки последними политической динамики природоохранных институтов. Если, например, местные органы власти считают, что они могут содержать свалки, они будут продолжать это делать, несмотря на то, что они запрещены.</w:t>
      </w:r>
    </w:p>
    <w:p w:rsidR="008A3A31" w:rsidRPr="00F618D7" w:rsidRDefault="00FA7C8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Внешние последствия применения являются </w:t>
      </w:r>
      <w:r w:rsidR="008A3A31" w:rsidRPr="00F618D7">
        <w:rPr>
          <w:rFonts w:ascii="Times New Roman" w:hAnsi="Times New Roman" w:cs="Times New Roman"/>
          <w:color w:val="000000" w:themeColor="text1"/>
          <w:sz w:val="28"/>
          <w:szCs w:val="28"/>
          <w:shd w:val="clear" w:color="auto" w:fill="FFFFFF"/>
        </w:rPr>
        <w:t>те, которые связаны с внедрением институтов и соблюдением администрацией положений. Например, штрафы за сброс мусора влияют на поведение.</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Анализ функционирования внешних эффектов, экономики и дезэкономики (воздействий) также помо</w:t>
      </w:r>
      <w:r w:rsidRPr="00F618D7">
        <w:rPr>
          <w:rFonts w:ascii="Times New Roman" w:hAnsi="Times New Roman" w:cs="Times New Roman"/>
          <w:color w:val="000000" w:themeColor="text1"/>
          <w:sz w:val="28"/>
          <w:szCs w:val="28"/>
          <w:shd w:val="clear" w:color="auto" w:fill="FFFFFF"/>
        </w:rPr>
        <w:t>гает</w:t>
      </w:r>
      <w:r w:rsidRPr="00F618D7">
        <w:rPr>
          <w:rFonts w:ascii="Times New Roman" w:hAnsi="Times New Roman" w:cs="Times New Roman"/>
          <w:color w:val="000000" w:themeColor="text1"/>
          <w:sz w:val="28"/>
          <w:szCs w:val="28"/>
          <w:shd w:val="clear" w:color="auto" w:fill="FFFFFF"/>
        </w:rPr>
        <w:t xml:space="preserve"> в планировании политики органов управления, местного самоуправления и государства. Это касается и местных органов власти, которые постепенно развиваются в направлении того, чтобы быть регулятором и фактором устойчивого управления и предпринимательства. То же самое относится и к центральному государству, а также к планированию, стратегии и инструментам, используемым Европейским союзом или национальной политикой</w:t>
      </w:r>
      <w:r w:rsidR="00FA7C81" w:rsidRPr="00F618D7">
        <w:rPr>
          <w:rStyle w:val="a8"/>
          <w:rFonts w:ascii="Times New Roman" w:hAnsi="Times New Roman" w:cs="Times New Roman"/>
          <w:color w:val="000000" w:themeColor="text1"/>
          <w:sz w:val="28"/>
          <w:szCs w:val="28"/>
          <w:shd w:val="clear" w:color="auto" w:fill="FFFFFF"/>
        </w:rPr>
        <w:footnoteReference w:id="4"/>
      </w:r>
      <w:r w:rsidRPr="00F618D7">
        <w:rPr>
          <w:rFonts w:ascii="Times New Roman" w:hAnsi="Times New Roman" w:cs="Times New Roman"/>
          <w:color w:val="000000" w:themeColor="text1"/>
          <w:sz w:val="28"/>
          <w:szCs w:val="28"/>
          <w:shd w:val="clear" w:color="auto" w:fill="FFFFFF"/>
        </w:rPr>
        <w:t>.</w:t>
      </w:r>
    </w:p>
    <w:p w:rsidR="008A3A31" w:rsidRPr="00F618D7" w:rsidRDefault="00753C13"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М</w:t>
      </w:r>
      <w:r w:rsidR="008A3A31" w:rsidRPr="00F618D7">
        <w:rPr>
          <w:rFonts w:ascii="Times New Roman" w:hAnsi="Times New Roman" w:cs="Times New Roman"/>
          <w:color w:val="000000" w:themeColor="text1"/>
          <w:sz w:val="28"/>
          <w:szCs w:val="28"/>
          <w:shd w:val="clear" w:color="auto" w:fill="FFFFFF"/>
        </w:rPr>
        <w:t>ы имеем шкалу делимости и исключения благ от индивидуума к общему или к тем, которые никому не принадлежат,</w:t>
      </w:r>
      <w:r w:rsidR="00846742" w:rsidRPr="00F618D7">
        <w:rPr>
          <w:rFonts w:ascii="Times New Roman" w:hAnsi="Times New Roman" w:cs="Times New Roman"/>
          <w:color w:val="000000" w:themeColor="text1"/>
          <w:sz w:val="28"/>
          <w:szCs w:val="28"/>
          <w:shd w:val="clear" w:color="auto" w:fill="FFFFFF"/>
        </w:rPr>
        <w:t xml:space="preserve"> </w:t>
      </w:r>
      <w:r w:rsidR="008A3A31" w:rsidRPr="00F618D7">
        <w:rPr>
          <w:rFonts w:ascii="Times New Roman" w:hAnsi="Times New Roman" w:cs="Times New Roman"/>
          <w:color w:val="000000" w:themeColor="text1"/>
          <w:sz w:val="28"/>
          <w:szCs w:val="28"/>
          <w:shd w:val="clear" w:color="auto" w:fill="FFFFFF"/>
        </w:rPr>
        <w:t>исключительному и делимому, к тем, которые являются общими и свободными. Здесь следует отметить, что жесткость, которая формируется в отношении блага окружающей среды и разнообразные социальные издержки процесса производства и потребления, превращают многие свободные товары в экономические блага - естественно, с промежуточным характером. Некоторые из бесплатных товаров, таких как, вода, частично являются экономическими,</w:t>
      </w:r>
      <w:r w:rsidR="00846742" w:rsidRPr="00F618D7">
        <w:rPr>
          <w:rFonts w:ascii="Times New Roman" w:hAnsi="Times New Roman" w:cs="Times New Roman"/>
          <w:color w:val="000000" w:themeColor="text1"/>
          <w:sz w:val="28"/>
          <w:szCs w:val="28"/>
          <w:shd w:val="clear" w:color="auto" w:fill="FFFFFF"/>
        </w:rPr>
        <w:t xml:space="preserve"> </w:t>
      </w:r>
      <w:r w:rsidR="008A3A31" w:rsidRPr="00F618D7">
        <w:rPr>
          <w:rFonts w:ascii="Times New Roman" w:hAnsi="Times New Roman" w:cs="Times New Roman"/>
          <w:color w:val="000000" w:themeColor="text1"/>
          <w:sz w:val="28"/>
          <w:szCs w:val="28"/>
          <w:shd w:val="clear" w:color="auto" w:fill="FFFFFF"/>
        </w:rPr>
        <w:t>в то время как воздух все еще является неэкономичным товаром.</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Здесь особенно важно</w:t>
      </w:r>
      <w:r w:rsidR="00846742" w:rsidRPr="00F618D7">
        <w:rPr>
          <w:rFonts w:ascii="Times New Roman" w:hAnsi="Times New Roman" w:cs="Times New Roman"/>
          <w:color w:val="000000" w:themeColor="text1"/>
          <w:sz w:val="28"/>
          <w:szCs w:val="28"/>
          <w:shd w:val="clear" w:color="auto" w:fill="FFFFFF"/>
        </w:rPr>
        <w:t>заменить</w:t>
      </w:r>
      <w:r w:rsidRPr="00F618D7">
        <w:rPr>
          <w:rFonts w:ascii="Times New Roman" w:hAnsi="Times New Roman" w:cs="Times New Roman"/>
          <w:color w:val="000000" w:themeColor="text1"/>
          <w:sz w:val="28"/>
          <w:szCs w:val="28"/>
          <w:shd w:val="clear" w:color="auto" w:fill="FFFFFF"/>
        </w:rPr>
        <w:t xml:space="preserve">, как общественные и свободные блага могут функционировать посредством системы управления как блага, которые обычно имеют характер неделимых благ. То есть: как они могут действовать с возможностью исключения, регулирования использования, регулирования права пользования, с выгодным характером в терминах частной экономики для органов управления и для местного самоуправления, которые также могут вмешиваться в охраняемые </w:t>
      </w:r>
      <w:r w:rsidR="00846742" w:rsidRPr="00F618D7">
        <w:rPr>
          <w:rFonts w:ascii="Times New Roman" w:hAnsi="Times New Roman" w:cs="Times New Roman"/>
          <w:color w:val="000000" w:themeColor="text1"/>
          <w:sz w:val="28"/>
          <w:szCs w:val="28"/>
          <w:shd w:val="clear" w:color="auto" w:fill="FFFFFF"/>
        </w:rPr>
        <w:t>зоны</w:t>
      </w:r>
      <w:r w:rsidRPr="00F618D7">
        <w:rPr>
          <w:rFonts w:ascii="Times New Roman" w:hAnsi="Times New Roman" w:cs="Times New Roman"/>
          <w:color w:val="000000" w:themeColor="text1"/>
          <w:sz w:val="28"/>
          <w:szCs w:val="28"/>
          <w:shd w:val="clear" w:color="auto" w:fill="FFFFFF"/>
        </w:rPr>
        <w:t>.</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Сфера планирования политики начинается с</w:t>
      </w:r>
      <w:r w:rsidR="00846742" w:rsidRPr="00F618D7">
        <w:rPr>
          <w:rFonts w:ascii="Times New Roman" w:hAnsi="Times New Roman" w:cs="Times New Roman"/>
          <w:color w:val="000000" w:themeColor="text1"/>
          <w:sz w:val="28"/>
          <w:szCs w:val="28"/>
          <w:shd w:val="clear" w:color="auto" w:fill="FFFFFF"/>
        </w:rPr>
        <w:t>о</w:t>
      </w:r>
      <w:r w:rsidRPr="00F618D7">
        <w:rPr>
          <w:rFonts w:ascii="Times New Roman" w:hAnsi="Times New Roman" w:cs="Times New Roman"/>
          <w:color w:val="000000" w:themeColor="text1"/>
          <w:sz w:val="28"/>
          <w:szCs w:val="28"/>
          <w:shd w:val="clear" w:color="auto" w:fill="FFFFFF"/>
        </w:rPr>
        <w:t xml:space="preserve"> способности классифицировать и оценивать внешние эффекты путем приближения и выборки. Внешние последствия являются краеугольным камнем экологической политики. Через неделимость некоторых товаров и услуг в конце концов </w:t>
      </w:r>
      <w:r w:rsidR="00846742" w:rsidRPr="00F618D7">
        <w:rPr>
          <w:rFonts w:ascii="Times New Roman" w:hAnsi="Times New Roman" w:cs="Times New Roman"/>
          <w:color w:val="000000" w:themeColor="text1"/>
          <w:sz w:val="28"/>
          <w:szCs w:val="28"/>
          <w:shd w:val="clear" w:color="auto" w:fill="FFFFFF"/>
        </w:rPr>
        <w:t xml:space="preserve">следует </w:t>
      </w:r>
      <w:r w:rsidRPr="00F618D7">
        <w:rPr>
          <w:rFonts w:ascii="Times New Roman" w:hAnsi="Times New Roman" w:cs="Times New Roman"/>
          <w:color w:val="000000" w:themeColor="text1"/>
          <w:sz w:val="28"/>
          <w:szCs w:val="28"/>
          <w:shd w:val="clear" w:color="auto" w:fill="FFFFFF"/>
        </w:rPr>
        <w:t>обра</w:t>
      </w:r>
      <w:r w:rsidR="00846742" w:rsidRPr="00F618D7">
        <w:rPr>
          <w:rFonts w:ascii="Times New Roman" w:hAnsi="Times New Roman" w:cs="Times New Roman"/>
          <w:color w:val="000000" w:themeColor="text1"/>
          <w:sz w:val="28"/>
          <w:szCs w:val="28"/>
          <w:shd w:val="clear" w:color="auto" w:fill="FFFFFF"/>
        </w:rPr>
        <w:t xml:space="preserve">тить </w:t>
      </w:r>
      <w:r w:rsidRPr="00F618D7">
        <w:rPr>
          <w:rFonts w:ascii="Times New Roman" w:hAnsi="Times New Roman" w:cs="Times New Roman"/>
          <w:color w:val="000000" w:themeColor="text1"/>
          <w:sz w:val="28"/>
          <w:szCs w:val="28"/>
          <w:shd w:val="clear" w:color="auto" w:fill="FFFFFF"/>
        </w:rPr>
        <w:t>внимание на сложность, которая не может быть решена механистической природой рынка, который работает через делимость товаров и от их исключительности к их присвоению. Здесь целостный характер экономики и природы выявливается в комплексной форме. Можно сказать, что внешние эффекты связаны с добавленной стоимостью во внешней экономике, и в качестве позитивных эффектов мы можем связать их с эффектом масштаба и добавленной стоимостью, с тем чтобы иметь возможность интегрировать формирование инструментов для их ценообразования</w:t>
      </w:r>
      <w:r w:rsidR="00FA7C81" w:rsidRPr="00F618D7">
        <w:rPr>
          <w:rStyle w:val="a8"/>
          <w:rFonts w:ascii="Times New Roman" w:hAnsi="Times New Roman" w:cs="Times New Roman"/>
          <w:color w:val="000000" w:themeColor="text1"/>
          <w:sz w:val="28"/>
          <w:szCs w:val="28"/>
          <w:shd w:val="clear" w:color="auto" w:fill="FFFFFF"/>
        </w:rPr>
        <w:footnoteReference w:id="5"/>
      </w:r>
      <w:r w:rsidRPr="00F618D7">
        <w:rPr>
          <w:rFonts w:ascii="Times New Roman" w:hAnsi="Times New Roman" w:cs="Times New Roman"/>
          <w:color w:val="000000" w:themeColor="text1"/>
          <w:sz w:val="28"/>
          <w:szCs w:val="28"/>
          <w:shd w:val="clear" w:color="auto" w:fill="FFFFFF"/>
        </w:rPr>
        <w:t>.</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До сих пор в экономической оценке </w:t>
      </w:r>
      <w:r w:rsidR="00846742" w:rsidRPr="00F618D7">
        <w:rPr>
          <w:rFonts w:ascii="Times New Roman" w:hAnsi="Times New Roman" w:cs="Times New Roman"/>
          <w:color w:val="000000" w:themeColor="text1"/>
          <w:sz w:val="28"/>
          <w:szCs w:val="28"/>
          <w:shd w:val="clear" w:color="auto" w:fill="FFFFFF"/>
        </w:rPr>
        <w:t xml:space="preserve">использовалась </w:t>
      </w:r>
      <w:r w:rsidRPr="00F618D7">
        <w:rPr>
          <w:rFonts w:ascii="Times New Roman" w:hAnsi="Times New Roman" w:cs="Times New Roman"/>
          <w:color w:val="000000" w:themeColor="text1"/>
          <w:sz w:val="28"/>
          <w:szCs w:val="28"/>
          <w:shd w:val="clear" w:color="auto" w:fill="FFFFFF"/>
        </w:rPr>
        <w:t>операционн</w:t>
      </w:r>
      <w:r w:rsidR="00846742" w:rsidRPr="00F618D7">
        <w:rPr>
          <w:rFonts w:ascii="Times New Roman" w:hAnsi="Times New Roman" w:cs="Times New Roman"/>
          <w:color w:val="000000" w:themeColor="text1"/>
          <w:sz w:val="28"/>
          <w:szCs w:val="28"/>
          <w:shd w:val="clear" w:color="auto" w:fill="FFFFFF"/>
        </w:rPr>
        <w:t xml:space="preserve">ая </w:t>
      </w:r>
      <w:r w:rsidRPr="00F618D7">
        <w:rPr>
          <w:rFonts w:ascii="Times New Roman" w:hAnsi="Times New Roman" w:cs="Times New Roman"/>
          <w:color w:val="000000" w:themeColor="text1"/>
          <w:sz w:val="28"/>
          <w:szCs w:val="28"/>
          <w:shd w:val="clear" w:color="auto" w:fill="FFFFFF"/>
        </w:rPr>
        <w:t>ценност</w:t>
      </w:r>
      <w:r w:rsidR="00846742" w:rsidRPr="00F618D7">
        <w:rPr>
          <w:rFonts w:ascii="Times New Roman" w:hAnsi="Times New Roman" w:cs="Times New Roman"/>
          <w:color w:val="000000" w:themeColor="text1"/>
          <w:sz w:val="28"/>
          <w:szCs w:val="28"/>
          <w:shd w:val="clear" w:color="auto" w:fill="FFFFFF"/>
        </w:rPr>
        <w:t>ь</w:t>
      </w:r>
      <w:r w:rsidRPr="00F618D7">
        <w:rPr>
          <w:rFonts w:ascii="Times New Roman" w:hAnsi="Times New Roman" w:cs="Times New Roman"/>
          <w:color w:val="000000" w:themeColor="text1"/>
          <w:sz w:val="28"/>
          <w:szCs w:val="28"/>
          <w:shd w:val="clear" w:color="auto" w:fill="FFFFFF"/>
        </w:rPr>
        <w:t>, а не ценност</w:t>
      </w:r>
      <w:r w:rsidR="00846742" w:rsidRPr="00F618D7">
        <w:rPr>
          <w:rFonts w:ascii="Times New Roman" w:hAnsi="Times New Roman" w:cs="Times New Roman"/>
          <w:color w:val="000000" w:themeColor="text1"/>
          <w:sz w:val="28"/>
          <w:szCs w:val="28"/>
          <w:shd w:val="clear" w:color="auto" w:fill="FFFFFF"/>
        </w:rPr>
        <w:t>ь</w:t>
      </w:r>
      <w:r w:rsidRPr="00F618D7">
        <w:rPr>
          <w:rFonts w:ascii="Times New Roman" w:hAnsi="Times New Roman" w:cs="Times New Roman"/>
          <w:color w:val="000000" w:themeColor="text1"/>
          <w:sz w:val="28"/>
          <w:szCs w:val="28"/>
          <w:shd w:val="clear" w:color="auto" w:fill="FFFFFF"/>
        </w:rPr>
        <w:t xml:space="preserve"> обслуживания. Нет никакой возможности калькуляции стоимости содержания</w:t>
      </w:r>
      <w:r w:rsidR="00846742" w:rsidRPr="00F618D7">
        <w:rPr>
          <w:rFonts w:ascii="Times New Roman" w:hAnsi="Times New Roman" w:cs="Times New Roman"/>
          <w:color w:val="000000" w:themeColor="text1"/>
          <w:sz w:val="28"/>
          <w:szCs w:val="28"/>
          <w:shd w:val="clear" w:color="auto" w:fill="FFFFFF"/>
        </w:rPr>
        <w:t xml:space="preserve"> внешнего эффекта</w:t>
      </w:r>
      <w:r w:rsidRPr="00F618D7">
        <w:rPr>
          <w:rFonts w:ascii="Times New Roman" w:hAnsi="Times New Roman" w:cs="Times New Roman"/>
          <w:color w:val="000000" w:themeColor="text1"/>
          <w:sz w:val="28"/>
          <w:szCs w:val="28"/>
          <w:shd w:val="clear" w:color="auto" w:fill="FFFFFF"/>
        </w:rPr>
        <w:t>,</w:t>
      </w:r>
      <w:r w:rsidR="00846742" w:rsidRPr="00F618D7">
        <w:rPr>
          <w:rFonts w:ascii="Times New Roman" w:hAnsi="Times New Roman" w:cs="Times New Roman"/>
          <w:color w:val="000000" w:themeColor="text1"/>
          <w:sz w:val="28"/>
          <w:szCs w:val="28"/>
          <w:shd w:val="clear" w:color="auto" w:fill="FFFFFF"/>
        </w:rPr>
        <w:t xml:space="preserve"> </w:t>
      </w:r>
      <w:r w:rsidRPr="00F618D7">
        <w:rPr>
          <w:rFonts w:ascii="Times New Roman" w:hAnsi="Times New Roman" w:cs="Times New Roman"/>
          <w:color w:val="000000" w:themeColor="text1"/>
          <w:sz w:val="28"/>
          <w:szCs w:val="28"/>
          <w:shd w:val="clear" w:color="auto" w:fill="FFFFFF"/>
        </w:rPr>
        <w:t>несмотря на то, что он активно участву</w:t>
      </w:r>
      <w:r w:rsidR="00846742" w:rsidRPr="00F618D7">
        <w:rPr>
          <w:rFonts w:ascii="Times New Roman" w:hAnsi="Times New Roman" w:cs="Times New Roman"/>
          <w:color w:val="000000" w:themeColor="text1"/>
          <w:sz w:val="28"/>
          <w:szCs w:val="28"/>
          <w:shd w:val="clear" w:color="auto" w:fill="FFFFFF"/>
        </w:rPr>
        <w:t>е</w:t>
      </w:r>
      <w:r w:rsidRPr="00F618D7">
        <w:rPr>
          <w:rFonts w:ascii="Times New Roman" w:hAnsi="Times New Roman" w:cs="Times New Roman"/>
          <w:color w:val="000000" w:themeColor="text1"/>
          <w:sz w:val="28"/>
          <w:szCs w:val="28"/>
          <w:shd w:val="clear" w:color="auto" w:fill="FFFFFF"/>
        </w:rPr>
        <w:t xml:space="preserve">т в политическом планировании. В прошлом и в политических рамках регулирования стоимость содержания имела ограниченную динамику, поскольку режим прав был без ограничений, он </w:t>
      </w:r>
      <w:r w:rsidR="00846742" w:rsidRPr="00F618D7">
        <w:rPr>
          <w:rFonts w:ascii="Times New Roman" w:hAnsi="Times New Roman" w:cs="Times New Roman"/>
          <w:color w:val="000000" w:themeColor="text1"/>
          <w:sz w:val="28"/>
          <w:szCs w:val="28"/>
          <w:shd w:val="clear" w:color="auto" w:fill="FFFFFF"/>
        </w:rPr>
        <w:t xml:space="preserve">выступал </w:t>
      </w:r>
      <w:r w:rsidRPr="00F618D7">
        <w:rPr>
          <w:rFonts w:ascii="Times New Roman" w:hAnsi="Times New Roman" w:cs="Times New Roman"/>
          <w:color w:val="000000" w:themeColor="text1"/>
          <w:sz w:val="28"/>
          <w:szCs w:val="28"/>
          <w:shd w:val="clear" w:color="auto" w:fill="FFFFFF"/>
        </w:rPr>
        <w:t xml:space="preserve">мандатом рынка. Однако научные знания о внешних эффектах в операционной и в экономической области в настоящее время начали формировать новый </w:t>
      </w:r>
      <w:r w:rsidR="00846742" w:rsidRPr="00F618D7">
        <w:rPr>
          <w:rFonts w:ascii="Times New Roman" w:hAnsi="Times New Roman" w:cs="Times New Roman"/>
          <w:color w:val="000000" w:themeColor="text1"/>
          <w:sz w:val="28"/>
          <w:szCs w:val="28"/>
          <w:shd w:val="clear" w:color="auto" w:fill="FFFFFF"/>
        </w:rPr>
        <w:t xml:space="preserve">формат </w:t>
      </w:r>
      <w:r w:rsidRPr="00F618D7">
        <w:rPr>
          <w:rFonts w:ascii="Times New Roman" w:hAnsi="Times New Roman" w:cs="Times New Roman"/>
          <w:color w:val="000000" w:themeColor="text1"/>
          <w:sz w:val="28"/>
          <w:szCs w:val="28"/>
          <w:shd w:val="clear" w:color="auto" w:fill="FFFFFF"/>
        </w:rPr>
        <w:t xml:space="preserve">в отношении ограничения прав и иного управления операционными ценностями, а также через многофункциональную концепцию «внешнего эффекта» как экономики или воздействия, знание </w:t>
      </w:r>
      <w:r w:rsidR="00846742" w:rsidRPr="00F618D7">
        <w:rPr>
          <w:rFonts w:ascii="Times New Roman" w:hAnsi="Times New Roman" w:cs="Times New Roman"/>
          <w:color w:val="000000" w:themeColor="text1"/>
          <w:sz w:val="28"/>
          <w:szCs w:val="28"/>
          <w:shd w:val="clear" w:color="auto" w:fill="FFFFFF"/>
        </w:rPr>
        <w:t xml:space="preserve">проблем и </w:t>
      </w:r>
      <w:r w:rsidRPr="00F618D7">
        <w:rPr>
          <w:rFonts w:ascii="Times New Roman" w:hAnsi="Times New Roman" w:cs="Times New Roman"/>
          <w:color w:val="000000" w:themeColor="text1"/>
          <w:sz w:val="28"/>
          <w:szCs w:val="28"/>
          <w:shd w:val="clear" w:color="auto" w:fill="FFFFFF"/>
        </w:rPr>
        <w:t>слаб</w:t>
      </w:r>
      <w:r w:rsidR="00846742" w:rsidRPr="00F618D7">
        <w:rPr>
          <w:rFonts w:ascii="Times New Roman" w:hAnsi="Times New Roman" w:cs="Times New Roman"/>
          <w:color w:val="000000" w:themeColor="text1"/>
          <w:sz w:val="28"/>
          <w:szCs w:val="28"/>
          <w:shd w:val="clear" w:color="auto" w:fill="FFFFFF"/>
        </w:rPr>
        <w:t xml:space="preserve">ых сторон </w:t>
      </w:r>
      <w:r w:rsidRPr="00F618D7">
        <w:rPr>
          <w:rFonts w:ascii="Times New Roman" w:hAnsi="Times New Roman" w:cs="Times New Roman"/>
          <w:color w:val="000000" w:themeColor="text1"/>
          <w:sz w:val="28"/>
          <w:szCs w:val="28"/>
          <w:shd w:val="clear" w:color="auto" w:fill="FFFFFF"/>
        </w:rPr>
        <w:t xml:space="preserve">рынка и дефицита в отношении интеграции и </w:t>
      </w:r>
      <w:r w:rsidR="00846742" w:rsidRPr="00F618D7">
        <w:rPr>
          <w:rFonts w:ascii="Times New Roman" w:hAnsi="Times New Roman" w:cs="Times New Roman"/>
          <w:color w:val="000000" w:themeColor="text1"/>
          <w:sz w:val="28"/>
          <w:szCs w:val="28"/>
          <w:shd w:val="clear" w:color="auto" w:fill="FFFFFF"/>
        </w:rPr>
        <w:t xml:space="preserve">развития </w:t>
      </w:r>
      <w:r w:rsidRPr="00F618D7">
        <w:rPr>
          <w:rFonts w:ascii="Times New Roman" w:hAnsi="Times New Roman" w:cs="Times New Roman"/>
          <w:color w:val="000000" w:themeColor="text1"/>
          <w:sz w:val="28"/>
          <w:szCs w:val="28"/>
          <w:shd w:val="clear" w:color="auto" w:fill="FFFFFF"/>
        </w:rPr>
        <w:t>науки о рынк</w:t>
      </w:r>
      <w:r w:rsidR="00846742" w:rsidRPr="00F618D7">
        <w:rPr>
          <w:rFonts w:ascii="Times New Roman" w:hAnsi="Times New Roman" w:cs="Times New Roman"/>
          <w:color w:val="000000" w:themeColor="text1"/>
          <w:sz w:val="28"/>
          <w:szCs w:val="28"/>
          <w:shd w:val="clear" w:color="auto" w:fill="FFFFFF"/>
        </w:rPr>
        <w:t>е</w:t>
      </w:r>
      <w:r w:rsidRPr="00F618D7">
        <w:rPr>
          <w:rFonts w:ascii="Times New Roman" w:hAnsi="Times New Roman" w:cs="Times New Roman"/>
          <w:color w:val="000000" w:themeColor="text1"/>
          <w:sz w:val="28"/>
          <w:szCs w:val="28"/>
          <w:shd w:val="clear" w:color="auto" w:fill="FFFFFF"/>
        </w:rPr>
        <w:t xml:space="preserve"> стал очевидным.</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Проблема возникает потому, что пределы частной собственности не совпадают с экологическими границами производственно-потребительской деятельности, и, кроме того, в определенной степени факторы производства н</w:t>
      </w:r>
      <w:r w:rsidR="00846742" w:rsidRPr="00F618D7">
        <w:rPr>
          <w:rFonts w:ascii="Times New Roman" w:hAnsi="Times New Roman" w:cs="Times New Roman"/>
          <w:color w:val="000000" w:themeColor="text1"/>
          <w:sz w:val="28"/>
          <w:szCs w:val="28"/>
          <w:shd w:val="clear" w:color="auto" w:fill="FFFFFF"/>
        </w:rPr>
        <w:t>е оцениваются внутренне и внешние воздействия</w:t>
      </w:r>
      <w:r w:rsidRPr="00F618D7">
        <w:rPr>
          <w:rFonts w:ascii="Times New Roman" w:hAnsi="Times New Roman" w:cs="Times New Roman"/>
          <w:color w:val="000000" w:themeColor="text1"/>
          <w:sz w:val="28"/>
          <w:szCs w:val="28"/>
          <w:shd w:val="clear" w:color="auto" w:fill="FFFFFF"/>
        </w:rPr>
        <w:t xml:space="preserve">. Эволюция экономической науки в этой области находится только в самом начале. Однако началось формирование критериев и показателей устойчивого развития, а также процесс перехода юрисдикции от рынка к социальному регулированию и институционализации в части окружающей среды. Эволюция многогранна и, несомненно, одним из каталитических факторов в качестве внешней экономики для устойчивого предпринимательства является неправительственные организации. Это </w:t>
      </w:r>
      <w:r w:rsidR="00846742" w:rsidRPr="00F618D7">
        <w:rPr>
          <w:rFonts w:ascii="Times New Roman" w:hAnsi="Times New Roman" w:cs="Times New Roman"/>
          <w:color w:val="000000" w:themeColor="text1"/>
          <w:sz w:val="28"/>
          <w:szCs w:val="28"/>
          <w:shd w:val="clear" w:color="auto" w:fill="FFFFFF"/>
        </w:rPr>
        <w:t xml:space="preserve">выступает </w:t>
      </w:r>
      <w:r w:rsidRPr="00F618D7">
        <w:rPr>
          <w:rFonts w:ascii="Times New Roman" w:hAnsi="Times New Roman" w:cs="Times New Roman"/>
          <w:color w:val="000000" w:themeColor="text1"/>
          <w:sz w:val="28"/>
          <w:szCs w:val="28"/>
          <w:shd w:val="clear" w:color="auto" w:fill="FFFFFF"/>
        </w:rPr>
        <w:t>социальн</w:t>
      </w:r>
      <w:r w:rsidR="00846742" w:rsidRPr="00F618D7">
        <w:rPr>
          <w:rFonts w:ascii="Times New Roman" w:hAnsi="Times New Roman" w:cs="Times New Roman"/>
          <w:color w:val="000000" w:themeColor="text1"/>
          <w:sz w:val="28"/>
          <w:szCs w:val="28"/>
          <w:shd w:val="clear" w:color="auto" w:fill="FFFFFF"/>
        </w:rPr>
        <w:t>ой</w:t>
      </w:r>
      <w:r w:rsidRPr="00F618D7">
        <w:rPr>
          <w:rFonts w:ascii="Times New Roman" w:hAnsi="Times New Roman" w:cs="Times New Roman"/>
          <w:color w:val="000000" w:themeColor="text1"/>
          <w:sz w:val="28"/>
          <w:szCs w:val="28"/>
          <w:shd w:val="clear" w:color="auto" w:fill="FFFFFF"/>
        </w:rPr>
        <w:t xml:space="preserve"> экономик</w:t>
      </w:r>
      <w:r w:rsidR="00846742" w:rsidRPr="00F618D7">
        <w:rPr>
          <w:rFonts w:ascii="Times New Roman" w:hAnsi="Times New Roman" w:cs="Times New Roman"/>
          <w:color w:val="000000" w:themeColor="text1"/>
          <w:sz w:val="28"/>
          <w:szCs w:val="28"/>
          <w:shd w:val="clear" w:color="auto" w:fill="FFFFFF"/>
        </w:rPr>
        <w:t>ой</w:t>
      </w:r>
      <w:r w:rsidRPr="00F618D7">
        <w:rPr>
          <w:rFonts w:ascii="Times New Roman" w:hAnsi="Times New Roman" w:cs="Times New Roman"/>
          <w:color w:val="000000" w:themeColor="text1"/>
          <w:sz w:val="28"/>
          <w:szCs w:val="28"/>
          <w:shd w:val="clear" w:color="auto" w:fill="FFFFFF"/>
        </w:rPr>
        <w:t>, это динамика знаний и информационного общества в вопросах природопользования, институционального и правового</w:t>
      </w:r>
      <w:r w:rsidR="00846742" w:rsidRPr="00F618D7">
        <w:rPr>
          <w:rFonts w:ascii="Times New Roman" w:hAnsi="Times New Roman" w:cs="Times New Roman"/>
          <w:color w:val="000000" w:themeColor="text1"/>
          <w:sz w:val="28"/>
          <w:szCs w:val="28"/>
          <w:shd w:val="clear" w:color="auto" w:fill="FFFFFF"/>
        </w:rPr>
        <w:t xml:space="preserve"> режима</w:t>
      </w:r>
      <w:r w:rsidRPr="00F618D7">
        <w:rPr>
          <w:rFonts w:ascii="Times New Roman" w:hAnsi="Times New Roman" w:cs="Times New Roman"/>
          <w:color w:val="000000" w:themeColor="text1"/>
          <w:sz w:val="28"/>
          <w:szCs w:val="28"/>
          <w:shd w:val="clear" w:color="auto" w:fill="FFFFFF"/>
        </w:rPr>
        <w:t>, вопрос</w:t>
      </w:r>
      <w:r w:rsidR="00846742" w:rsidRPr="00F618D7">
        <w:rPr>
          <w:rFonts w:ascii="Times New Roman" w:hAnsi="Times New Roman" w:cs="Times New Roman"/>
          <w:color w:val="000000" w:themeColor="text1"/>
          <w:sz w:val="28"/>
          <w:szCs w:val="28"/>
          <w:shd w:val="clear" w:color="auto" w:fill="FFFFFF"/>
        </w:rPr>
        <w:t>ов</w:t>
      </w:r>
      <w:r w:rsidRPr="00F618D7">
        <w:rPr>
          <w:rFonts w:ascii="Times New Roman" w:hAnsi="Times New Roman" w:cs="Times New Roman"/>
          <w:color w:val="000000" w:themeColor="text1"/>
          <w:sz w:val="28"/>
          <w:szCs w:val="28"/>
          <w:shd w:val="clear" w:color="auto" w:fill="FFFFFF"/>
        </w:rPr>
        <w:t xml:space="preserve"> охраны окружающей среды и т.д.</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Роль НПО, а также экологического образования и повышения осведомленности выступает в качестве катализатора динамики рынка, поскольку знания и сенсибилизация оказывают положительное влияние на формирование цены за качество и различие между продуктами</w:t>
      </w:r>
      <w:r w:rsidR="00FA7C81" w:rsidRPr="00F618D7">
        <w:rPr>
          <w:rStyle w:val="a8"/>
          <w:rFonts w:ascii="Times New Roman" w:hAnsi="Times New Roman" w:cs="Times New Roman"/>
          <w:color w:val="000000" w:themeColor="text1"/>
          <w:sz w:val="28"/>
          <w:szCs w:val="28"/>
          <w:shd w:val="clear" w:color="auto" w:fill="FFFFFF"/>
        </w:rPr>
        <w:footnoteReference w:id="6"/>
      </w:r>
      <w:r w:rsidRPr="00F618D7">
        <w:rPr>
          <w:rFonts w:ascii="Times New Roman" w:hAnsi="Times New Roman" w:cs="Times New Roman"/>
          <w:color w:val="000000" w:themeColor="text1"/>
          <w:sz w:val="28"/>
          <w:szCs w:val="28"/>
          <w:shd w:val="clear" w:color="auto" w:fill="FFFFFF"/>
        </w:rPr>
        <w:t>.</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Положительная внешняя экономика, которая выводит «зеленое» измерение экономики из пассивной и оборонительной зоны государственного вмешательства, заключается в том, что необходимость зеленых продуктов теперь признана. У потребителя формируется интегрированный спрос, и механизм рынка начал оценивать качество и охрану окружающей среды как положительные и приемлемые в стоимости приобретения продукции. Таким образом, можно сказать, что ресурсы повышения осведомленности в настоящее время закрепились и начали также </w:t>
      </w:r>
      <w:r w:rsidR="00846742" w:rsidRPr="00F618D7">
        <w:rPr>
          <w:rFonts w:ascii="Times New Roman" w:hAnsi="Times New Roman" w:cs="Times New Roman"/>
          <w:color w:val="000000" w:themeColor="text1"/>
          <w:sz w:val="28"/>
          <w:szCs w:val="28"/>
          <w:shd w:val="clear" w:color="auto" w:fill="FFFFFF"/>
        </w:rPr>
        <w:t xml:space="preserve">менять направление </w:t>
      </w:r>
      <w:r w:rsidRPr="00F618D7">
        <w:rPr>
          <w:rFonts w:ascii="Times New Roman" w:hAnsi="Times New Roman" w:cs="Times New Roman"/>
          <w:color w:val="000000" w:themeColor="text1"/>
          <w:sz w:val="28"/>
          <w:szCs w:val="28"/>
          <w:shd w:val="clear" w:color="auto" w:fill="FFFFFF"/>
        </w:rPr>
        <w:t xml:space="preserve">рынка для сектора частной экономики, который будет действовать в будущем в качестве «кормушки» устойчивого характера развития в смысле защиты окружающей среды, качества жизни, и здравоохранение. </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В политическом плане мы могли бы сказать, что окружающая среда и ее качество превращаются в развитых странах в некоторой степени </w:t>
      </w:r>
      <w:r w:rsidR="00846742" w:rsidRPr="00F618D7">
        <w:rPr>
          <w:rFonts w:ascii="Times New Roman" w:hAnsi="Times New Roman" w:cs="Times New Roman"/>
          <w:color w:val="000000" w:themeColor="text1"/>
          <w:sz w:val="28"/>
          <w:szCs w:val="28"/>
          <w:shd w:val="clear" w:color="auto" w:fill="FFFFFF"/>
        </w:rPr>
        <w:t xml:space="preserve">в </w:t>
      </w:r>
      <w:r w:rsidRPr="00F618D7">
        <w:rPr>
          <w:rFonts w:ascii="Times New Roman" w:hAnsi="Times New Roman" w:cs="Times New Roman"/>
          <w:color w:val="000000" w:themeColor="text1"/>
          <w:sz w:val="28"/>
          <w:szCs w:val="28"/>
          <w:shd w:val="clear" w:color="auto" w:fill="FFFFFF"/>
        </w:rPr>
        <w:t xml:space="preserve">экономический товар, который по отношению к его стоимости предложения будет контрвалентным в </w:t>
      </w:r>
      <w:r w:rsidR="00846742" w:rsidRPr="00F618D7">
        <w:rPr>
          <w:rFonts w:ascii="Times New Roman" w:hAnsi="Times New Roman" w:cs="Times New Roman"/>
          <w:color w:val="000000" w:themeColor="text1"/>
          <w:sz w:val="28"/>
          <w:szCs w:val="28"/>
          <w:shd w:val="clear" w:color="auto" w:fill="FFFFFF"/>
        </w:rPr>
        <w:t xml:space="preserve">своей </w:t>
      </w:r>
      <w:r w:rsidRPr="00F618D7">
        <w:rPr>
          <w:rFonts w:ascii="Times New Roman" w:hAnsi="Times New Roman" w:cs="Times New Roman"/>
          <w:color w:val="000000" w:themeColor="text1"/>
          <w:sz w:val="28"/>
          <w:szCs w:val="28"/>
          <w:shd w:val="clear" w:color="auto" w:fill="FFFFFF"/>
        </w:rPr>
        <w:t>совокупности, но также и с возможностью исключения, то есть через способность рынка участвовать в этом товаре на основе цены его стоимости предложения. В реализации этой динамики инструментов определяющую роль будут играть возможность развития маркетинга продуктов и услуг, эффективность этого маркетинга и, несомненно, политический процесс консенсуса по калькуляции затрат и распределению экологических или социальных издержек, а также по распределению экологической и социальной выгоды.</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Список использованной литературы</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Варавва М.Ю. </w:t>
      </w:r>
      <w:r w:rsidRPr="00F618D7">
        <w:rPr>
          <w:rFonts w:ascii="Times New Roman" w:hAnsi="Times New Roman" w:cs="Times New Roman"/>
          <w:color w:val="000000" w:themeColor="text1"/>
          <w:sz w:val="28"/>
          <w:szCs w:val="28"/>
          <w:shd w:val="clear" w:color="auto" w:fill="FFFFFF"/>
        </w:rPr>
        <w:t>У</w:t>
      </w:r>
      <w:r w:rsidRPr="00F618D7">
        <w:rPr>
          <w:rFonts w:ascii="Times New Roman" w:hAnsi="Times New Roman" w:cs="Times New Roman"/>
          <w:color w:val="000000" w:themeColor="text1"/>
          <w:sz w:val="28"/>
          <w:szCs w:val="28"/>
          <w:shd w:val="clear" w:color="auto" w:fill="FFFFFF"/>
        </w:rPr>
        <w:t xml:space="preserve">силение внешних позитивных эффектов научного знания в новой экономике. </w:t>
      </w:r>
      <w:r w:rsidRPr="00F618D7">
        <w:rPr>
          <w:rFonts w:ascii="Times New Roman" w:hAnsi="Times New Roman" w:cs="Times New Roman"/>
          <w:color w:val="000000" w:themeColor="text1"/>
          <w:sz w:val="28"/>
          <w:szCs w:val="28"/>
          <w:shd w:val="clear" w:color="auto" w:fill="FFFFFF"/>
        </w:rPr>
        <w:t>Теоретическая экономика. 2020. № 7 (67). С. 42-50.</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Исаева А.А. </w:t>
      </w:r>
      <w:r w:rsidRPr="00F618D7">
        <w:rPr>
          <w:rFonts w:ascii="Times New Roman" w:hAnsi="Times New Roman" w:cs="Times New Roman"/>
          <w:color w:val="000000" w:themeColor="text1"/>
          <w:sz w:val="28"/>
          <w:szCs w:val="28"/>
          <w:shd w:val="clear" w:color="auto" w:fill="FFFFFF"/>
        </w:rPr>
        <w:t>Ф</w:t>
      </w:r>
      <w:r w:rsidRPr="00F618D7">
        <w:rPr>
          <w:rFonts w:ascii="Times New Roman" w:hAnsi="Times New Roman" w:cs="Times New Roman"/>
          <w:color w:val="000000" w:themeColor="text1"/>
          <w:sz w:val="28"/>
          <w:szCs w:val="28"/>
          <w:shd w:val="clear" w:color="auto" w:fill="FFFFFF"/>
        </w:rPr>
        <w:t xml:space="preserve">иаско рынка: игнорирование рынком проблемы внешних эффектов. </w:t>
      </w:r>
      <w:r w:rsidRPr="00F618D7">
        <w:rPr>
          <w:rFonts w:ascii="Times New Roman" w:hAnsi="Times New Roman" w:cs="Times New Roman"/>
          <w:color w:val="000000" w:themeColor="text1"/>
          <w:sz w:val="28"/>
          <w:szCs w:val="28"/>
          <w:shd w:val="clear" w:color="auto" w:fill="FFFFFF"/>
        </w:rPr>
        <w:t>Аллея науки. 2018. Т. 2. № 2 (18). С. 640-643.</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Карев Д.М. </w:t>
      </w:r>
      <w:r w:rsidRPr="00F618D7">
        <w:rPr>
          <w:rFonts w:ascii="Times New Roman" w:hAnsi="Times New Roman" w:cs="Times New Roman"/>
          <w:color w:val="000000" w:themeColor="text1"/>
          <w:sz w:val="28"/>
          <w:szCs w:val="28"/>
          <w:shd w:val="clear" w:color="auto" w:fill="FFFFFF"/>
        </w:rPr>
        <w:t>В</w:t>
      </w:r>
      <w:r w:rsidRPr="00F618D7">
        <w:rPr>
          <w:rFonts w:ascii="Times New Roman" w:hAnsi="Times New Roman" w:cs="Times New Roman"/>
          <w:color w:val="000000" w:themeColor="text1"/>
          <w:sz w:val="28"/>
          <w:szCs w:val="28"/>
          <w:shd w:val="clear" w:color="auto" w:fill="FFFFFF"/>
        </w:rPr>
        <w:t xml:space="preserve">нешние эффекты в экономической теории. </w:t>
      </w:r>
      <w:r w:rsidRPr="00F618D7">
        <w:rPr>
          <w:rFonts w:ascii="Times New Roman" w:hAnsi="Times New Roman" w:cs="Times New Roman"/>
          <w:color w:val="000000" w:themeColor="text1"/>
          <w:sz w:val="28"/>
          <w:szCs w:val="28"/>
          <w:shd w:val="clear" w:color="auto" w:fill="FFFFFF"/>
        </w:rPr>
        <w:t>В сборнике: Ф</w:t>
      </w:r>
      <w:r w:rsidRPr="00F618D7">
        <w:rPr>
          <w:rFonts w:ascii="Times New Roman" w:hAnsi="Times New Roman" w:cs="Times New Roman"/>
          <w:color w:val="000000" w:themeColor="text1"/>
          <w:sz w:val="28"/>
          <w:szCs w:val="28"/>
          <w:shd w:val="clear" w:color="auto" w:fill="FFFFFF"/>
        </w:rPr>
        <w:t>ундаментальные и прикладные проблемы эффективности научных исследований и пути их решения. С</w:t>
      </w:r>
      <w:r w:rsidRPr="00F618D7">
        <w:rPr>
          <w:rFonts w:ascii="Times New Roman" w:hAnsi="Times New Roman" w:cs="Times New Roman"/>
          <w:color w:val="000000" w:themeColor="text1"/>
          <w:sz w:val="28"/>
          <w:szCs w:val="28"/>
          <w:shd w:val="clear" w:color="auto" w:fill="FFFFFF"/>
        </w:rPr>
        <w:t>борник статей по итогам Международной научно-практической конференции. 2020. С. 94-95.</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Киварина М.В., Алейников Д.И. </w:t>
      </w:r>
      <w:r w:rsidRPr="00F618D7">
        <w:rPr>
          <w:rFonts w:ascii="Times New Roman" w:hAnsi="Times New Roman" w:cs="Times New Roman"/>
          <w:color w:val="000000" w:themeColor="text1"/>
          <w:sz w:val="28"/>
          <w:szCs w:val="28"/>
          <w:shd w:val="clear" w:color="auto" w:fill="FFFFFF"/>
        </w:rPr>
        <w:t>В</w:t>
      </w:r>
      <w:r w:rsidRPr="00F618D7">
        <w:rPr>
          <w:rFonts w:ascii="Times New Roman" w:hAnsi="Times New Roman" w:cs="Times New Roman"/>
          <w:color w:val="000000" w:themeColor="text1"/>
          <w:sz w:val="28"/>
          <w:szCs w:val="28"/>
          <w:shd w:val="clear" w:color="auto" w:fill="FFFFFF"/>
        </w:rPr>
        <w:t xml:space="preserve">нешние эффекты: понятие, виды и способы регулирования. </w:t>
      </w:r>
      <w:r w:rsidRPr="00F618D7">
        <w:rPr>
          <w:rFonts w:ascii="Times New Roman" w:hAnsi="Times New Roman" w:cs="Times New Roman"/>
          <w:color w:val="000000" w:themeColor="text1"/>
          <w:sz w:val="28"/>
          <w:szCs w:val="28"/>
          <w:shd w:val="clear" w:color="auto" w:fill="FFFFFF"/>
        </w:rPr>
        <w:t>Евразийское Научное Объединение. 2021. № 4-3 (74). С. 209-212.</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Клинова С.П., Костылева В.И. </w:t>
      </w:r>
      <w:r w:rsidRPr="00F618D7">
        <w:rPr>
          <w:rFonts w:ascii="Times New Roman" w:hAnsi="Times New Roman" w:cs="Times New Roman"/>
          <w:color w:val="000000" w:themeColor="text1"/>
          <w:sz w:val="28"/>
          <w:szCs w:val="28"/>
          <w:shd w:val="clear" w:color="auto" w:fill="FFFFFF"/>
        </w:rPr>
        <w:t>Р</w:t>
      </w:r>
      <w:r w:rsidRPr="00F618D7">
        <w:rPr>
          <w:rFonts w:ascii="Times New Roman" w:hAnsi="Times New Roman" w:cs="Times New Roman"/>
          <w:color w:val="000000" w:themeColor="text1"/>
          <w:sz w:val="28"/>
          <w:szCs w:val="28"/>
          <w:shd w:val="clear" w:color="auto" w:fill="FFFFFF"/>
        </w:rPr>
        <w:t xml:space="preserve">оль устойчивого финансирования в решении проблемы отрицательных внешних эффектов. </w:t>
      </w:r>
      <w:r w:rsidRPr="00F618D7">
        <w:rPr>
          <w:rFonts w:ascii="Times New Roman" w:hAnsi="Times New Roman" w:cs="Times New Roman"/>
          <w:color w:val="000000" w:themeColor="text1"/>
          <w:sz w:val="28"/>
          <w:szCs w:val="28"/>
          <w:shd w:val="clear" w:color="auto" w:fill="FFFFFF"/>
        </w:rPr>
        <w:t>Современная экономика: проблемы и решения. 2020. № 8 (128). С. 100-108.</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Костылева В.И. </w:t>
      </w:r>
      <w:r w:rsidRPr="00F618D7">
        <w:rPr>
          <w:rFonts w:ascii="Times New Roman" w:hAnsi="Times New Roman" w:cs="Times New Roman"/>
          <w:color w:val="000000" w:themeColor="text1"/>
          <w:sz w:val="28"/>
          <w:szCs w:val="28"/>
          <w:shd w:val="clear" w:color="auto" w:fill="FFFFFF"/>
        </w:rPr>
        <w:t xml:space="preserve">О </w:t>
      </w:r>
      <w:r w:rsidRPr="00F618D7">
        <w:rPr>
          <w:rFonts w:ascii="Times New Roman" w:hAnsi="Times New Roman" w:cs="Times New Roman"/>
          <w:color w:val="000000" w:themeColor="text1"/>
          <w:sz w:val="28"/>
          <w:szCs w:val="28"/>
          <w:shd w:val="clear" w:color="auto" w:fill="FFFFFF"/>
        </w:rPr>
        <w:t xml:space="preserve">проблеме внешних эффектов и ее решении. </w:t>
      </w:r>
      <w:r w:rsidRPr="00F618D7">
        <w:rPr>
          <w:rFonts w:ascii="Times New Roman" w:hAnsi="Times New Roman" w:cs="Times New Roman"/>
          <w:color w:val="000000" w:themeColor="text1"/>
          <w:sz w:val="28"/>
          <w:szCs w:val="28"/>
          <w:shd w:val="clear" w:color="auto" w:fill="FFFFFF"/>
        </w:rPr>
        <w:t>В сборнике: Актуальные проблемы развития отраслевых рынков: национальный и региональный уровень. Сборник статей III Международной научно-практической конференции. Ответственный редактор Т.Н. Гоголева. 2019. С. 107-110.</w:t>
      </w:r>
    </w:p>
    <w:p w:rsidR="00FA7C81" w:rsidRPr="00F618D7" w:rsidRDefault="00FA7C81" w:rsidP="00FA7C81">
      <w:pPr>
        <w:pStyle w:val="a5"/>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F618D7">
        <w:rPr>
          <w:rFonts w:ascii="Times New Roman" w:hAnsi="Times New Roman" w:cs="Times New Roman"/>
          <w:color w:val="000000" w:themeColor="text1"/>
          <w:sz w:val="28"/>
          <w:szCs w:val="28"/>
          <w:shd w:val="clear" w:color="auto" w:fill="FFFFFF"/>
        </w:rPr>
        <w:t xml:space="preserve">Чернова Г.В., Алленова Е.А., Сидоров В.В. </w:t>
      </w:r>
      <w:r w:rsidRPr="00F618D7">
        <w:rPr>
          <w:rFonts w:ascii="Times New Roman" w:hAnsi="Times New Roman" w:cs="Times New Roman"/>
          <w:color w:val="000000" w:themeColor="text1"/>
          <w:sz w:val="28"/>
          <w:szCs w:val="28"/>
          <w:shd w:val="clear" w:color="auto" w:fill="FFFFFF"/>
        </w:rPr>
        <w:t>П</w:t>
      </w:r>
      <w:r w:rsidRPr="00F618D7">
        <w:rPr>
          <w:rFonts w:ascii="Times New Roman" w:hAnsi="Times New Roman" w:cs="Times New Roman"/>
          <w:color w:val="000000" w:themeColor="text1"/>
          <w:sz w:val="28"/>
          <w:szCs w:val="28"/>
          <w:shd w:val="clear" w:color="auto" w:fill="FFFFFF"/>
        </w:rPr>
        <w:t xml:space="preserve">роявление изменчивости количественных признаков в контексте изучения эффектов факторов внешней среды. </w:t>
      </w:r>
      <w:r w:rsidRPr="00F618D7">
        <w:rPr>
          <w:rFonts w:ascii="Times New Roman" w:hAnsi="Times New Roman" w:cs="Times New Roman"/>
          <w:color w:val="000000" w:themeColor="text1"/>
          <w:sz w:val="28"/>
          <w:szCs w:val="28"/>
          <w:shd w:val="clear" w:color="auto" w:fill="FFFFFF"/>
        </w:rPr>
        <w:t>В сборнике: ЦИ</w:t>
      </w:r>
      <w:r w:rsidRPr="00F618D7">
        <w:rPr>
          <w:rFonts w:ascii="Times New Roman" w:hAnsi="Times New Roman" w:cs="Times New Roman"/>
          <w:color w:val="000000" w:themeColor="text1"/>
          <w:sz w:val="28"/>
          <w:szCs w:val="28"/>
          <w:shd w:val="clear" w:color="auto" w:fill="FFFFFF"/>
        </w:rPr>
        <w:t>фровая экономика и экономика знаний: общественные, естественнонаучные и технологические аспекты. С</w:t>
      </w:r>
      <w:r w:rsidRPr="00F618D7">
        <w:rPr>
          <w:rFonts w:ascii="Times New Roman" w:hAnsi="Times New Roman" w:cs="Times New Roman"/>
          <w:color w:val="000000" w:themeColor="text1"/>
          <w:sz w:val="28"/>
          <w:szCs w:val="28"/>
          <w:shd w:val="clear" w:color="auto" w:fill="FFFFFF"/>
        </w:rPr>
        <w:t>борник статей Международной научно-практической конференции. 2018. С. 355-358.</w:t>
      </w:r>
    </w:p>
    <w:p w:rsidR="008A3A31" w:rsidRPr="00F618D7" w:rsidRDefault="008A3A31" w:rsidP="00FA7C81">
      <w:pPr>
        <w:spacing w:after="0" w:line="360" w:lineRule="auto"/>
        <w:ind w:firstLine="709"/>
        <w:jc w:val="both"/>
        <w:rPr>
          <w:rFonts w:ascii="Times New Roman" w:hAnsi="Times New Roman" w:cs="Times New Roman"/>
          <w:color w:val="000000" w:themeColor="text1"/>
          <w:sz w:val="28"/>
          <w:szCs w:val="28"/>
          <w:shd w:val="clear" w:color="auto" w:fill="FFFFFF"/>
        </w:rPr>
      </w:pPr>
    </w:p>
    <w:p w:rsidR="007868B6" w:rsidRPr="00F618D7" w:rsidRDefault="007868B6">
      <w:pPr>
        <w:rPr>
          <w:rFonts w:ascii="Times New Roman" w:hAnsi="Times New Roman" w:cs="Times New Roman"/>
          <w:color w:val="000000" w:themeColor="text1"/>
          <w:sz w:val="20"/>
          <w:szCs w:val="20"/>
          <w:shd w:val="clear" w:color="auto" w:fill="FFFFFF"/>
        </w:rPr>
      </w:pPr>
    </w:p>
    <w:p w:rsidR="007868B6" w:rsidRPr="00F618D7" w:rsidRDefault="007868B6" w:rsidP="00FA7C81">
      <w:pPr>
        <w:pStyle w:val="1"/>
        <w:jc w:val="center"/>
        <w:rPr>
          <w:rFonts w:ascii="Times New Roman" w:hAnsi="Times New Roman" w:cs="Times New Roman"/>
          <w:b/>
          <w:color w:val="000000" w:themeColor="text1"/>
          <w:sz w:val="28"/>
          <w:szCs w:val="28"/>
          <w:shd w:val="clear" w:color="auto" w:fill="FFFFFF"/>
        </w:rPr>
      </w:pPr>
      <w:bookmarkStart w:id="3" w:name="_Toc89787390"/>
      <w:r w:rsidRPr="00F618D7">
        <w:rPr>
          <w:rFonts w:ascii="Times New Roman" w:hAnsi="Times New Roman" w:cs="Times New Roman"/>
          <w:b/>
          <w:color w:val="000000" w:themeColor="text1"/>
          <w:sz w:val="28"/>
          <w:szCs w:val="28"/>
          <w:shd w:val="clear" w:color="auto" w:fill="FFFFFF"/>
        </w:rPr>
        <w:t>3. Составить кейс на тему: «Источники финансирования российских фирм»</w:t>
      </w:r>
      <w:bookmarkEnd w:id="3"/>
    </w:p>
    <w:p w:rsidR="007868B6" w:rsidRPr="00F618D7" w:rsidRDefault="007868B6">
      <w:pPr>
        <w:rPr>
          <w:rFonts w:ascii="Times New Roman" w:hAnsi="Times New Roman" w:cs="Times New Roman"/>
          <w:color w:val="000000" w:themeColor="text1"/>
          <w:sz w:val="20"/>
          <w:szCs w:val="20"/>
          <w:shd w:val="clear" w:color="auto" w:fill="FFFFFF"/>
        </w:rPr>
      </w:pPr>
    </w:p>
    <w:p w:rsidR="00F618D7" w:rsidRPr="00F618D7" w:rsidRDefault="00F618D7">
      <w:pPr>
        <w:rPr>
          <w:rFonts w:ascii="Times New Roman" w:hAnsi="Times New Roman" w:cs="Times New Roman"/>
          <w:color w:val="000000" w:themeColor="text1"/>
          <w:sz w:val="20"/>
          <w:szCs w:val="20"/>
          <w:shd w:val="clear" w:color="auto" w:fill="FFFFFF"/>
        </w:rPr>
      </w:pPr>
    </w:p>
    <w:p w:rsidR="00F618D7" w:rsidRPr="00F618D7" w:rsidRDefault="00F618D7" w:rsidP="00F618D7">
      <w:pPr>
        <w:pStyle w:val="2"/>
        <w:ind w:firstLine="709"/>
        <w:rPr>
          <w:color w:val="000000" w:themeColor="text1"/>
          <w:szCs w:val="28"/>
        </w:rPr>
      </w:pPr>
      <w:r w:rsidRPr="00F618D7">
        <w:rPr>
          <w:color w:val="000000" w:themeColor="text1"/>
          <w:szCs w:val="28"/>
        </w:rPr>
        <w:t>ООО «Коско»</w:t>
      </w:r>
      <w:r w:rsidRPr="00F618D7">
        <w:rPr>
          <w:color w:val="000000" w:themeColor="text1"/>
          <w:szCs w:val="28"/>
        </w:rPr>
        <w:t xml:space="preserve">  является производителем профессиональной косметики для салонов красоты. </w:t>
      </w:r>
      <w:r w:rsidRPr="00F618D7">
        <w:rPr>
          <w:color w:val="000000" w:themeColor="text1"/>
          <w:szCs w:val="28"/>
        </w:rPr>
        <w:t xml:space="preserve">Учебный Центр проводит обучение и повышение квалификации врачей-косметологов и эстетистов. Все препараты являются высококачественным и сертифицированным продуктом. </w:t>
      </w:r>
    </w:p>
    <w:p w:rsidR="00F618D7" w:rsidRPr="00F618D7" w:rsidRDefault="00F618D7" w:rsidP="00F618D7">
      <w:pPr>
        <w:pStyle w:val="2"/>
        <w:ind w:firstLine="709"/>
        <w:rPr>
          <w:color w:val="000000" w:themeColor="text1"/>
          <w:szCs w:val="28"/>
        </w:rPr>
      </w:pPr>
      <w:r w:rsidRPr="00F618D7">
        <w:rPr>
          <w:color w:val="000000" w:themeColor="text1"/>
          <w:szCs w:val="28"/>
        </w:rPr>
        <w:t>В настоящий момент компания нуждается в дополнительных средствах в размере 2 млн.руб. на закуп дополнительного оборудования.</w:t>
      </w:r>
    </w:p>
    <w:p w:rsidR="00F618D7" w:rsidRPr="00F618D7" w:rsidRDefault="00F618D7" w:rsidP="00F618D7">
      <w:pPr>
        <w:spacing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На данный момент, с одной стороны, банки, например, не готовы финансировать компанию на 100% объема дебиторской задолженности с отсрочкой платежа, с другой стороны – ООО «Коско» необходимо ограничить размер дополнительного финансирования за счет факторинга так, чтобы иметь возможность погасить обязательства перед факторинговой компанией за счет собственных денежных средств.</w:t>
      </w:r>
    </w:p>
    <w:p w:rsidR="00F618D7" w:rsidRPr="00F618D7" w:rsidRDefault="00F618D7" w:rsidP="00F618D7">
      <w:pPr>
        <w:spacing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Рассмотрим варианты финансирования ООО «Коско» при расчетной потребности в дополнительных оборотных средствах.</w:t>
      </w:r>
    </w:p>
    <w:p w:rsidR="00F618D7" w:rsidRPr="00F618D7" w:rsidRDefault="00F618D7" w:rsidP="00F618D7">
      <w:pPr>
        <w:spacing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Рисунок 1 – Варианты финансирования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5"/>
        <w:gridCol w:w="5019"/>
      </w:tblGrid>
      <w:tr w:rsidR="00F618D7" w:rsidRPr="00F618D7" w:rsidTr="001430CF">
        <w:tc>
          <w:tcPr>
            <w:tcW w:w="2093" w:type="dxa"/>
            <w:vAlign w:val="center"/>
          </w:tcPr>
          <w:p w:rsidR="00F618D7" w:rsidRPr="00F618D7" w:rsidRDefault="00F618D7" w:rsidP="001430CF">
            <w:pPr>
              <w:jc w:val="center"/>
              <w:rPr>
                <w:rFonts w:ascii="Times New Roman" w:hAnsi="Times New Roman" w:cs="Times New Roman"/>
                <w:color w:val="000000" w:themeColor="text1"/>
              </w:rPr>
            </w:pPr>
            <w:r w:rsidRPr="00F618D7">
              <w:rPr>
                <w:rFonts w:ascii="Times New Roman" w:hAnsi="Times New Roman" w:cs="Times New Roman"/>
                <w:color w:val="000000" w:themeColor="text1"/>
              </w:rPr>
              <w:t>Наименование</w:t>
            </w:r>
          </w:p>
        </w:tc>
        <w:tc>
          <w:tcPr>
            <w:tcW w:w="2276" w:type="dxa"/>
            <w:vAlign w:val="center"/>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Предложение по полной ставке</w:t>
            </w:r>
          </w:p>
        </w:tc>
      </w:tr>
      <w:tr w:rsidR="00F618D7" w:rsidRPr="00F618D7" w:rsidTr="00F618D7">
        <w:trPr>
          <w:trHeight w:val="297"/>
        </w:trPr>
        <w:tc>
          <w:tcPr>
            <w:tcW w:w="2093" w:type="dxa"/>
          </w:tcPr>
          <w:p w:rsidR="00F618D7" w:rsidRPr="00F618D7" w:rsidRDefault="00F618D7" w:rsidP="001430CF">
            <w:pPr>
              <w:jc w:val="both"/>
              <w:rPr>
                <w:rFonts w:ascii="Times New Roman" w:hAnsi="Times New Roman" w:cs="Times New Roman"/>
                <w:color w:val="000000" w:themeColor="text1"/>
              </w:rPr>
            </w:pPr>
            <w:r w:rsidRPr="00F618D7">
              <w:rPr>
                <w:rFonts w:ascii="Times New Roman" w:hAnsi="Times New Roman" w:cs="Times New Roman"/>
                <w:color w:val="000000" w:themeColor="text1"/>
              </w:rPr>
              <w:t>Русская факторинговая компания</w:t>
            </w:r>
          </w:p>
        </w:tc>
        <w:tc>
          <w:tcPr>
            <w:tcW w:w="227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2 000тыс. руб на 15 дней, 100% финансирование, платеж составит 10,8тыс</w:t>
            </w:r>
          </w:p>
        </w:tc>
      </w:tr>
      <w:tr w:rsidR="00F618D7" w:rsidRPr="00F618D7" w:rsidTr="001430CF">
        <w:tc>
          <w:tcPr>
            <w:tcW w:w="2093" w:type="dxa"/>
          </w:tcPr>
          <w:p w:rsidR="00F618D7" w:rsidRPr="00F618D7" w:rsidRDefault="00F618D7" w:rsidP="001430CF">
            <w:pPr>
              <w:jc w:val="both"/>
              <w:rPr>
                <w:rFonts w:ascii="Times New Roman" w:hAnsi="Times New Roman" w:cs="Times New Roman"/>
                <w:color w:val="000000" w:themeColor="text1"/>
              </w:rPr>
            </w:pPr>
            <w:r w:rsidRPr="00F618D7">
              <w:rPr>
                <w:rFonts w:ascii="Times New Roman" w:hAnsi="Times New Roman" w:cs="Times New Roman"/>
                <w:color w:val="000000" w:themeColor="text1"/>
              </w:rPr>
              <w:t>Факторинговая компания </w:t>
            </w:r>
            <w:r w:rsidRPr="00F618D7">
              <w:rPr>
                <w:rStyle w:val="company-name"/>
                <w:rFonts w:ascii="Times New Roman" w:hAnsi="Times New Roman" w:cs="Times New Roman"/>
                <w:color w:val="000000" w:themeColor="text1"/>
              </w:rPr>
              <w:t>"Stars co-factor"</w:t>
            </w:r>
          </w:p>
        </w:tc>
        <w:tc>
          <w:tcPr>
            <w:tcW w:w="227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2 000тыс. руб на 15 дней, 100% финансирование, платеж составит 32,616тыс</w:t>
            </w:r>
          </w:p>
        </w:tc>
      </w:tr>
      <w:tr w:rsidR="00F618D7" w:rsidRPr="00F618D7" w:rsidTr="001430CF">
        <w:tc>
          <w:tcPr>
            <w:tcW w:w="2093" w:type="dxa"/>
          </w:tcPr>
          <w:p w:rsidR="00F618D7" w:rsidRPr="00F618D7" w:rsidRDefault="00F618D7" w:rsidP="001430CF">
            <w:pPr>
              <w:jc w:val="both"/>
              <w:rPr>
                <w:rFonts w:ascii="Times New Roman" w:hAnsi="Times New Roman" w:cs="Times New Roman"/>
                <w:color w:val="000000" w:themeColor="text1"/>
              </w:rPr>
            </w:pPr>
            <w:r w:rsidRPr="00F618D7">
              <w:rPr>
                <w:rFonts w:ascii="Times New Roman" w:hAnsi="Times New Roman" w:cs="Times New Roman"/>
                <w:color w:val="000000" w:themeColor="text1"/>
              </w:rPr>
              <w:t>ПАО «Сбербанк»</w:t>
            </w:r>
          </w:p>
        </w:tc>
        <w:tc>
          <w:tcPr>
            <w:tcW w:w="227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23,4%</w:t>
            </w:r>
          </w:p>
        </w:tc>
      </w:tr>
    </w:tbl>
    <w:p w:rsidR="00F618D7" w:rsidRPr="00F618D7" w:rsidRDefault="00F618D7" w:rsidP="00F618D7">
      <w:pPr>
        <w:spacing w:line="360" w:lineRule="auto"/>
        <w:ind w:firstLine="709"/>
        <w:jc w:val="both"/>
        <w:rPr>
          <w:rFonts w:ascii="Times New Roman" w:hAnsi="Times New Roman" w:cs="Times New Roman"/>
          <w:color w:val="000000" w:themeColor="text1"/>
          <w:sz w:val="28"/>
          <w:szCs w:val="28"/>
        </w:rPr>
      </w:pPr>
    </w:p>
    <w:p w:rsidR="00F618D7" w:rsidRPr="00F618D7" w:rsidRDefault="00F618D7" w:rsidP="00F618D7">
      <w:pPr>
        <w:spacing w:after="0"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Большинство российских факторинговых компаний не предоставляют конкретных данных по ценам на свои услуги. В итоге ООО «Коско» оказывается в непростой ситуации. Оно не может быстро собрать информацию о том, во сколько ему обойдется факторинг, чтобы просчитать свою выгоду. Сложно  быстро определиться с компаниями, которые не только подходят ООО «Коско» по цене, но и выяснить средние расценки.</w:t>
      </w:r>
    </w:p>
    <w:p w:rsidR="00F618D7" w:rsidRPr="00F618D7" w:rsidRDefault="00F618D7" w:rsidP="00F618D7">
      <w:pPr>
        <w:spacing w:after="0"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Факторинговые компании предлагают поставщикам, ведущим деятельность на условиях отсрочки платежа, комплекс услуг по финансированию и управлению дебиторской задолженностью по нескольким программам:</w:t>
      </w:r>
    </w:p>
    <w:p w:rsidR="00F618D7" w:rsidRPr="00F618D7" w:rsidRDefault="00F618D7" w:rsidP="00F618D7">
      <w:pPr>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Факторинг с правом регресса;</w:t>
      </w:r>
    </w:p>
    <w:p w:rsidR="00F618D7" w:rsidRPr="00F618D7" w:rsidRDefault="00F618D7" w:rsidP="00F618D7">
      <w:pPr>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Факторинг без права регресса;</w:t>
      </w:r>
    </w:p>
    <w:p w:rsidR="00F618D7" w:rsidRPr="00F618D7" w:rsidRDefault="00F618D7" w:rsidP="00F618D7">
      <w:pPr>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Реверсивный факторинг с правом регресса;</w:t>
      </w:r>
    </w:p>
    <w:p w:rsidR="00F618D7" w:rsidRPr="00F618D7" w:rsidRDefault="00F618D7" w:rsidP="00F618D7">
      <w:pPr>
        <w:numPr>
          <w:ilvl w:val="0"/>
          <w:numId w:val="3"/>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Реверсивный факторинг без права регресса.</w:t>
      </w:r>
    </w:p>
    <w:p w:rsidR="00F618D7" w:rsidRPr="00F618D7" w:rsidRDefault="00F618D7" w:rsidP="00F618D7">
      <w:pPr>
        <w:spacing w:after="0" w:line="360" w:lineRule="auto"/>
        <w:ind w:firstLine="709"/>
        <w:jc w:val="both"/>
        <w:rPr>
          <w:rFonts w:ascii="Times New Roman" w:hAnsi="Times New Roman" w:cs="Times New Roman"/>
          <w:bCs/>
          <w:color w:val="000000" w:themeColor="text1"/>
          <w:sz w:val="28"/>
          <w:szCs w:val="28"/>
        </w:rPr>
      </w:pPr>
      <w:r w:rsidRPr="00F618D7">
        <w:rPr>
          <w:rFonts w:ascii="Times New Roman" w:hAnsi="Times New Roman" w:cs="Times New Roman"/>
          <w:bCs/>
          <w:color w:val="000000" w:themeColor="text1"/>
          <w:sz w:val="28"/>
          <w:szCs w:val="28"/>
        </w:rPr>
        <w:t>Преобладающие на рынке факторинговых услуг условия договоров:</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Финансирование — до 100% от суммы уступленного денежного требования;</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Валюта финансирования — рубли;</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Срок договора — бессрочный;</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Отсрочка платежа между Поставщиком и Дебитором — до 120 дней;</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Ставка за неиспользованный лимит — 0%;</w:t>
      </w:r>
    </w:p>
    <w:p w:rsidR="00F618D7" w:rsidRPr="00F618D7" w:rsidRDefault="00F618D7" w:rsidP="00F618D7">
      <w:pPr>
        <w:numPr>
          <w:ilvl w:val="0"/>
          <w:numId w:val="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Комиссия за рассмотрение заявки — 0%;</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Возможность использования технологии E-Factoring (электронный документооборот);</w:t>
      </w:r>
    </w:p>
    <w:p w:rsidR="00F618D7" w:rsidRPr="00F618D7" w:rsidRDefault="00F618D7" w:rsidP="00F618D7">
      <w:pPr>
        <w:numPr>
          <w:ilvl w:val="0"/>
          <w:numId w:val="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Отсутствие требований по оформлению залога;</w:t>
      </w:r>
    </w:p>
    <w:p w:rsidR="00F618D7" w:rsidRPr="00F618D7" w:rsidRDefault="00F618D7" w:rsidP="00F618D7">
      <w:pPr>
        <w:spacing w:after="0" w:line="360" w:lineRule="auto"/>
        <w:ind w:firstLine="709"/>
        <w:jc w:val="both"/>
        <w:rPr>
          <w:rFonts w:ascii="Times New Roman" w:hAnsi="Times New Roman" w:cs="Times New Roman"/>
          <w:bCs/>
          <w:color w:val="000000" w:themeColor="text1"/>
          <w:sz w:val="28"/>
          <w:szCs w:val="28"/>
        </w:rPr>
      </w:pPr>
      <w:r w:rsidRPr="00F618D7">
        <w:rPr>
          <w:rFonts w:ascii="Times New Roman" w:hAnsi="Times New Roman" w:cs="Times New Roman"/>
          <w:bCs/>
          <w:color w:val="000000" w:themeColor="text1"/>
          <w:sz w:val="28"/>
          <w:szCs w:val="28"/>
        </w:rPr>
        <w:t>Предлагемые факторинговыми компаниями преимущества</w:t>
      </w:r>
    </w:p>
    <w:p w:rsidR="00F618D7" w:rsidRPr="00F618D7" w:rsidRDefault="00F618D7" w:rsidP="00F618D7">
      <w:pPr>
        <w:numPr>
          <w:ilvl w:val="0"/>
          <w:numId w:val="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Стабильный источник финансирования поставок;</w:t>
      </w:r>
    </w:p>
    <w:p w:rsidR="00F618D7" w:rsidRPr="00F618D7" w:rsidRDefault="00F618D7" w:rsidP="00F618D7">
      <w:pPr>
        <w:numPr>
          <w:ilvl w:val="0"/>
          <w:numId w:val="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Компетенции в области управления дебиторской задолженностью;</w:t>
      </w:r>
    </w:p>
    <w:p w:rsidR="00F618D7" w:rsidRPr="00F618D7" w:rsidRDefault="00F618D7" w:rsidP="00F618D7">
      <w:pPr>
        <w:numPr>
          <w:ilvl w:val="0"/>
          <w:numId w:val="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Выгодные условия финансирования;</w:t>
      </w:r>
    </w:p>
    <w:p w:rsidR="00F618D7" w:rsidRPr="00F618D7" w:rsidRDefault="00F618D7" w:rsidP="00F618D7">
      <w:pPr>
        <w:numPr>
          <w:ilvl w:val="0"/>
          <w:numId w:val="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Высокая надежность и стабильность, принятие современных технологий и стандартов;</w:t>
      </w:r>
    </w:p>
    <w:p w:rsidR="00F618D7" w:rsidRPr="00F618D7" w:rsidRDefault="00F618D7" w:rsidP="00F618D7">
      <w:pPr>
        <w:numPr>
          <w:ilvl w:val="0"/>
          <w:numId w:val="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Индивидуальный подход к структурированию сделок, в том числе формирование предложений по рынку сбыта услуг поставщика;</w:t>
      </w:r>
    </w:p>
    <w:p w:rsidR="00F618D7" w:rsidRPr="00F618D7" w:rsidRDefault="00F618D7" w:rsidP="00F618D7">
      <w:pPr>
        <w:numPr>
          <w:ilvl w:val="0"/>
          <w:numId w:val="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Улучшение схемы взаимодействия между поставщиком и дебитором за счет мониторинга состояния дебиторской задолженности и организации пря</w:t>
      </w:r>
      <w:r w:rsidRPr="00F618D7">
        <w:rPr>
          <w:rFonts w:ascii="Times New Roman" w:hAnsi="Times New Roman" w:cs="Times New Roman"/>
          <w:color w:val="000000" w:themeColor="text1"/>
          <w:sz w:val="28"/>
          <w:szCs w:val="28"/>
        </w:rPr>
        <w:t>мого взаимодействия с дебитором.</w:t>
      </w:r>
    </w:p>
    <w:p w:rsidR="00F618D7" w:rsidRPr="00F618D7" w:rsidRDefault="00F618D7" w:rsidP="00F618D7">
      <w:pPr>
        <w:tabs>
          <w:tab w:val="left" w:pos="851"/>
        </w:tabs>
        <w:spacing w:after="0"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Необходимо рассчитать наиболее выгодный вариант финансирования предприятия.</w:t>
      </w:r>
    </w:p>
    <w:p w:rsidR="00F618D7" w:rsidRPr="00F618D7" w:rsidRDefault="00F618D7" w:rsidP="00F618D7">
      <w:pPr>
        <w:tabs>
          <w:tab w:val="left" w:pos="851"/>
        </w:tabs>
        <w:spacing w:after="0" w:line="360" w:lineRule="auto"/>
        <w:ind w:firstLine="709"/>
        <w:jc w:val="both"/>
        <w:rPr>
          <w:rFonts w:ascii="Times New Roman" w:hAnsi="Times New Roman" w:cs="Times New Roman"/>
          <w:color w:val="000000" w:themeColor="text1"/>
          <w:sz w:val="28"/>
          <w:szCs w:val="28"/>
        </w:rPr>
      </w:pPr>
    </w:p>
    <w:p w:rsidR="00F618D7" w:rsidRPr="00F618D7" w:rsidRDefault="00F618D7" w:rsidP="00F618D7">
      <w:pPr>
        <w:tabs>
          <w:tab w:val="left" w:pos="851"/>
        </w:tabs>
        <w:spacing w:after="0"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Решение</w:t>
      </w:r>
    </w:p>
    <w:p w:rsidR="00F618D7" w:rsidRPr="00F618D7" w:rsidRDefault="00F618D7" w:rsidP="00F618D7">
      <w:pPr>
        <w:spacing w:after="0"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Рассмотрим эффективные совокупные ставки по договору факторинга, предлагаемые на рынке финансовых услуг</w:t>
      </w:r>
      <w:r w:rsidRPr="00F618D7">
        <w:rPr>
          <w:rFonts w:ascii="Times New Roman" w:hAnsi="Times New Roman" w:cs="Times New Roman"/>
          <w:color w:val="000000" w:themeColor="text1"/>
          <w:sz w:val="28"/>
          <w:szCs w:val="28"/>
        </w:rPr>
        <w:t xml:space="preserve"> на сегодняшний день</w:t>
      </w:r>
      <w:r w:rsidRPr="00F618D7">
        <w:rPr>
          <w:rFonts w:ascii="Times New Roman" w:hAnsi="Times New Roman" w:cs="Times New Roman"/>
          <w:color w:val="000000" w:themeColor="text1"/>
          <w:sz w:val="28"/>
          <w:szCs w:val="28"/>
        </w:rPr>
        <w:t>. Рассчитаем стоимость разовой сделки ООО «Коско» по договору факторинга на условиях рассчитанной потребности в денежных средствах на один оборот за год в 20 дней в сумме 30 524 тыс. руб.</w:t>
      </w:r>
    </w:p>
    <w:p w:rsidR="00F618D7" w:rsidRPr="00F618D7" w:rsidRDefault="00F618D7" w:rsidP="00F618D7">
      <w:pPr>
        <w:spacing w:after="0"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 xml:space="preserve">Таблица 2 - </w:t>
      </w:r>
      <w:r w:rsidRPr="00F618D7">
        <w:rPr>
          <w:rFonts w:ascii="Times New Roman" w:hAnsi="Times New Roman" w:cs="Times New Roman"/>
          <w:iCs/>
          <w:color w:val="000000" w:themeColor="text1"/>
          <w:sz w:val="28"/>
          <w:szCs w:val="28"/>
        </w:rPr>
        <w:t>Эффективные ставки по договору факторинга и расчет для ООО «Коско» на прогнозный год.</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276"/>
        <w:gridCol w:w="1819"/>
        <w:gridCol w:w="3446"/>
      </w:tblGrid>
      <w:tr w:rsidR="00F618D7" w:rsidRPr="00F618D7" w:rsidTr="00F618D7">
        <w:tc>
          <w:tcPr>
            <w:tcW w:w="2093" w:type="dxa"/>
            <w:vAlign w:val="center"/>
          </w:tcPr>
          <w:p w:rsidR="00F618D7" w:rsidRPr="00F618D7" w:rsidRDefault="00F618D7" w:rsidP="001430CF">
            <w:pPr>
              <w:jc w:val="center"/>
              <w:rPr>
                <w:rFonts w:ascii="Times New Roman" w:hAnsi="Times New Roman" w:cs="Times New Roman"/>
                <w:color w:val="000000" w:themeColor="text1"/>
              </w:rPr>
            </w:pPr>
            <w:r w:rsidRPr="00F618D7">
              <w:rPr>
                <w:rFonts w:ascii="Times New Roman" w:hAnsi="Times New Roman" w:cs="Times New Roman"/>
                <w:color w:val="000000" w:themeColor="text1"/>
              </w:rPr>
              <w:t>Наименование</w:t>
            </w:r>
          </w:p>
        </w:tc>
        <w:tc>
          <w:tcPr>
            <w:tcW w:w="2276" w:type="dxa"/>
            <w:vAlign w:val="center"/>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Предложение по полной ставке</w:t>
            </w:r>
          </w:p>
        </w:tc>
        <w:tc>
          <w:tcPr>
            <w:tcW w:w="1819" w:type="dxa"/>
            <w:vAlign w:val="center"/>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Годовая ставка</w:t>
            </w:r>
          </w:p>
        </w:tc>
        <w:tc>
          <w:tcPr>
            <w:tcW w:w="344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Расчет расходов для ООО «Коско»</w:t>
            </w:r>
          </w:p>
        </w:tc>
      </w:tr>
      <w:tr w:rsidR="00F618D7" w:rsidRPr="00F618D7" w:rsidTr="00F618D7">
        <w:trPr>
          <w:trHeight w:val="1479"/>
        </w:trPr>
        <w:tc>
          <w:tcPr>
            <w:tcW w:w="2093" w:type="dxa"/>
          </w:tcPr>
          <w:p w:rsidR="00F618D7" w:rsidRPr="00F618D7" w:rsidRDefault="00F618D7" w:rsidP="001430CF">
            <w:pPr>
              <w:jc w:val="both"/>
              <w:rPr>
                <w:rFonts w:ascii="Times New Roman" w:hAnsi="Times New Roman" w:cs="Times New Roman"/>
                <w:color w:val="000000" w:themeColor="text1"/>
              </w:rPr>
            </w:pPr>
            <w:r w:rsidRPr="00F618D7">
              <w:rPr>
                <w:rFonts w:ascii="Times New Roman" w:hAnsi="Times New Roman" w:cs="Times New Roman"/>
                <w:color w:val="000000" w:themeColor="text1"/>
              </w:rPr>
              <w:t>Русская факторинговая компания</w:t>
            </w:r>
          </w:p>
        </w:tc>
        <w:tc>
          <w:tcPr>
            <w:tcW w:w="227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2 000тыс. руб на 15 дней, 100% финансирование, платеж составит 10,8тыс</w:t>
            </w:r>
          </w:p>
        </w:tc>
        <w:tc>
          <w:tcPr>
            <w:tcW w:w="1819"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(10,8/15*365)/2000*100% = 13,14%</w:t>
            </w:r>
          </w:p>
        </w:tc>
        <w:tc>
          <w:tcPr>
            <w:tcW w:w="344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30 524*0,1314/365*20 = 219,77</w:t>
            </w:r>
          </w:p>
        </w:tc>
      </w:tr>
      <w:tr w:rsidR="00F618D7" w:rsidRPr="00F618D7" w:rsidTr="00F618D7">
        <w:tc>
          <w:tcPr>
            <w:tcW w:w="2093" w:type="dxa"/>
          </w:tcPr>
          <w:p w:rsidR="00F618D7" w:rsidRPr="00F618D7" w:rsidRDefault="00F618D7" w:rsidP="001430CF">
            <w:pPr>
              <w:jc w:val="both"/>
              <w:rPr>
                <w:rFonts w:ascii="Times New Roman" w:hAnsi="Times New Roman" w:cs="Times New Roman"/>
                <w:color w:val="000000" w:themeColor="text1"/>
              </w:rPr>
            </w:pPr>
            <w:r w:rsidRPr="00F618D7">
              <w:rPr>
                <w:rFonts w:ascii="Times New Roman" w:hAnsi="Times New Roman" w:cs="Times New Roman"/>
                <w:color w:val="000000" w:themeColor="text1"/>
              </w:rPr>
              <w:t>Факторинговая компания </w:t>
            </w:r>
            <w:r w:rsidRPr="00F618D7">
              <w:rPr>
                <w:rStyle w:val="company-name"/>
                <w:rFonts w:ascii="Times New Roman" w:hAnsi="Times New Roman" w:cs="Times New Roman"/>
                <w:color w:val="000000" w:themeColor="text1"/>
              </w:rPr>
              <w:t>"Stars co-factor"</w:t>
            </w:r>
          </w:p>
        </w:tc>
        <w:tc>
          <w:tcPr>
            <w:tcW w:w="227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2 000тыс. руб на 15 дней, 100% финансирование, платеж составит 32,616тыс</w:t>
            </w:r>
          </w:p>
        </w:tc>
        <w:tc>
          <w:tcPr>
            <w:tcW w:w="1819"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(32,616/15*365)/2000 = 39,68%</w:t>
            </w:r>
          </w:p>
        </w:tc>
        <w:tc>
          <w:tcPr>
            <w:tcW w:w="344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30 524*0,3968/365*20 = 663,67</w:t>
            </w:r>
          </w:p>
        </w:tc>
      </w:tr>
      <w:tr w:rsidR="00F618D7" w:rsidRPr="00F618D7" w:rsidTr="00F618D7">
        <w:tc>
          <w:tcPr>
            <w:tcW w:w="2093" w:type="dxa"/>
          </w:tcPr>
          <w:p w:rsidR="00F618D7" w:rsidRPr="00F618D7" w:rsidRDefault="00F618D7" w:rsidP="001430CF">
            <w:pPr>
              <w:jc w:val="both"/>
              <w:rPr>
                <w:rFonts w:ascii="Times New Roman" w:hAnsi="Times New Roman" w:cs="Times New Roman"/>
                <w:color w:val="000000" w:themeColor="text1"/>
              </w:rPr>
            </w:pPr>
            <w:r w:rsidRPr="00F618D7">
              <w:rPr>
                <w:rFonts w:ascii="Times New Roman" w:hAnsi="Times New Roman" w:cs="Times New Roman"/>
                <w:color w:val="000000" w:themeColor="text1"/>
              </w:rPr>
              <w:t>ПАО «Сбербанк»</w:t>
            </w:r>
          </w:p>
        </w:tc>
        <w:tc>
          <w:tcPr>
            <w:tcW w:w="227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23,4%</w:t>
            </w:r>
          </w:p>
        </w:tc>
        <w:tc>
          <w:tcPr>
            <w:tcW w:w="1819"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23,4%</w:t>
            </w:r>
          </w:p>
        </w:tc>
        <w:tc>
          <w:tcPr>
            <w:tcW w:w="3446" w:type="dxa"/>
          </w:tcPr>
          <w:p w:rsidR="00F618D7" w:rsidRPr="00F618D7" w:rsidRDefault="00F618D7" w:rsidP="001430CF">
            <w:pPr>
              <w:rPr>
                <w:rFonts w:ascii="Times New Roman" w:hAnsi="Times New Roman" w:cs="Times New Roman"/>
                <w:color w:val="000000" w:themeColor="text1"/>
              </w:rPr>
            </w:pPr>
            <w:r w:rsidRPr="00F618D7">
              <w:rPr>
                <w:rFonts w:ascii="Times New Roman" w:hAnsi="Times New Roman" w:cs="Times New Roman"/>
                <w:color w:val="000000" w:themeColor="text1"/>
              </w:rPr>
              <w:t>30 524*0,234/365*20 = 391,38</w:t>
            </w:r>
          </w:p>
        </w:tc>
      </w:tr>
    </w:tbl>
    <w:p w:rsidR="00F618D7" w:rsidRPr="00F618D7" w:rsidRDefault="00F618D7" w:rsidP="00F618D7">
      <w:pPr>
        <w:spacing w:line="360" w:lineRule="auto"/>
        <w:ind w:firstLine="709"/>
        <w:jc w:val="both"/>
        <w:rPr>
          <w:rFonts w:ascii="Times New Roman" w:hAnsi="Times New Roman" w:cs="Times New Roman"/>
          <w:color w:val="000000" w:themeColor="text1"/>
          <w:sz w:val="28"/>
          <w:szCs w:val="28"/>
        </w:rPr>
      </w:pPr>
    </w:p>
    <w:p w:rsidR="00F618D7" w:rsidRPr="00F618D7" w:rsidRDefault="00F618D7" w:rsidP="00F618D7">
      <w:pPr>
        <w:spacing w:line="360" w:lineRule="auto"/>
        <w:ind w:firstLine="709"/>
        <w:jc w:val="both"/>
        <w:rPr>
          <w:rFonts w:ascii="Times New Roman" w:hAnsi="Times New Roman" w:cs="Times New Roman"/>
          <w:color w:val="000000" w:themeColor="text1"/>
          <w:sz w:val="28"/>
          <w:szCs w:val="28"/>
        </w:rPr>
      </w:pPr>
      <w:r w:rsidRPr="00F618D7">
        <w:rPr>
          <w:rFonts w:ascii="Times New Roman" w:hAnsi="Times New Roman" w:cs="Times New Roman"/>
          <w:color w:val="000000" w:themeColor="text1"/>
          <w:sz w:val="28"/>
          <w:szCs w:val="28"/>
        </w:rPr>
        <w:t>Таким образом, наиболее дешевым вариантом договора будет договор с Русской факторинговой компанией, который обойдется в сумму 219,77 тыс. руб. за один оборот денежных средств. Дополнительные свободные денежные средства существенно повысят ликвидность баланса организации, позволят профинансировать мероприятия по маркетингу и оптимизации численности персонала, а также существенно повлияют на управление стоимостью компании.</w:t>
      </w:r>
    </w:p>
    <w:p w:rsidR="00F618D7" w:rsidRPr="00F618D7" w:rsidRDefault="00F618D7">
      <w:pPr>
        <w:rPr>
          <w:rFonts w:ascii="Times New Roman" w:hAnsi="Times New Roman" w:cs="Times New Roman"/>
          <w:color w:val="000000" w:themeColor="text1"/>
          <w:sz w:val="20"/>
          <w:szCs w:val="20"/>
          <w:shd w:val="clear" w:color="auto" w:fill="FFFFFF"/>
        </w:rPr>
      </w:pPr>
    </w:p>
    <w:sectPr w:rsidR="00F618D7" w:rsidRPr="00F618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438" w:rsidRDefault="00071438" w:rsidP="00FA7C81">
      <w:pPr>
        <w:spacing w:after="0" w:line="240" w:lineRule="auto"/>
      </w:pPr>
      <w:r>
        <w:separator/>
      </w:r>
    </w:p>
  </w:endnote>
  <w:endnote w:type="continuationSeparator" w:id="0">
    <w:p w:rsidR="00071438" w:rsidRDefault="00071438" w:rsidP="00FA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672560"/>
      <w:docPartObj>
        <w:docPartGallery w:val="Page Numbers (Bottom of Page)"/>
        <w:docPartUnique/>
      </w:docPartObj>
    </w:sdtPr>
    <w:sdtContent>
      <w:p w:rsidR="00F618D7" w:rsidRDefault="00F618D7">
        <w:pPr>
          <w:pStyle w:val="ab"/>
          <w:jc w:val="right"/>
        </w:pPr>
        <w:r>
          <w:fldChar w:fldCharType="begin"/>
        </w:r>
        <w:r>
          <w:instrText>PAGE   \* MERGEFORMAT</w:instrText>
        </w:r>
        <w:r>
          <w:fldChar w:fldCharType="separate"/>
        </w:r>
        <w:r w:rsidR="0007143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438" w:rsidRDefault="00071438" w:rsidP="00FA7C81">
      <w:pPr>
        <w:spacing w:after="0" w:line="240" w:lineRule="auto"/>
      </w:pPr>
      <w:r>
        <w:separator/>
      </w:r>
    </w:p>
  </w:footnote>
  <w:footnote w:type="continuationSeparator" w:id="0">
    <w:p w:rsidR="00071438" w:rsidRDefault="00071438" w:rsidP="00FA7C81">
      <w:pPr>
        <w:spacing w:after="0" w:line="240" w:lineRule="auto"/>
      </w:pPr>
      <w:r>
        <w:continuationSeparator/>
      </w:r>
    </w:p>
  </w:footnote>
  <w:footnote w:id="1">
    <w:p w:rsidR="00FA7C81" w:rsidRPr="00FA7C81" w:rsidRDefault="00FA7C81" w:rsidP="00FA7C81">
      <w:pPr>
        <w:spacing w:after="0" w:line="360" w:lineRule="auto"/>
        <w:jc w:val="both"/>
        <w:rPr>
          <w:sz w:val="20"/>
          <w:szCs w:val="20"/>
        </w:rPr>
      </w:pPr>
      <w:r w:rsidRPr="00FA7C81">
        <w:rPr>
          <w:rStyle w:val="a8"/>
          <w:sz w:val="20"/>
          <w:szCs w:val="20"/>
        </w:rPr>
        <w:footnoteRef/>
      </w:r>
      <w:r w:rsidRPr="00FA7C81">
        <w:rPr>
          <w:sz w:val="20"/>
          <w:szCs w:val="20"/>
        </w:rPr>
        <w:t xml:space="preserve"> </w:t>
      </w:r>
      <w:r w:rsidRPr="00FA7C81">
        <w:rPr>
          <w:rFonts w:ascii="Times New Roman" w:hAnsi="Times New Roman" w:cs="Times New Roman"/>
          <w:color w:val="000000"/>
          <w:sz w:val="20"/>
          <w:szCs w:val="20"/>
          <w:shd w:val="clear" w:color="auto" w:fill="FFFFFF"/>
        </w:rPr>
        <w:t>Варавва М.Ю. Усиление внешних позитивных эффектов научного знания в новой экономике. Теоретическая экономика. 2020. № 7 (67). С. 42-50.</w:t>
      </w:r>
    </w:p>
  </w:footnote>
  <w:footnote w:id="2">
    <w:p w:rsidR="00FA7C81" w:rsidRPr="00FA7C81" w:rsidRDefault="00FA7C81" w:rsidP="00FA7C81">
      <w:pPr>
        <w:spacing w:after="0" w:line="360" w:lineRule="auto"/>
        <w:jc w:val="both"/>
        <w:rPr>
          <w:sz w:val="20"/>
          <w:szCs w:val="20"/>
        </w:rPr>
      </w:pPr>
      <w:r w:rsidRPr="00FA7C81">
        <w:rPr>
          <w:rStyle w:val="a8"/>
          <w:sz w:val="20"/>
          <w:szCs w:val="20"/>
        </w:rPr>
        <w:footnoteRef/>
      </w:r>
      <w:r w:rsidRPr="00FA7C81">
        <w:rPr>
          <w:sz w:val="20"/>
          <w:szCs w:val="20"/>
        </w:rPr>
        <w:t xml:space="preserve"> </w:t>
      </w:r>
      <w:r w:rsidRPr="00FA7C81">
        <w:rPr>
          <w:rFonts w:ascii="Times New Roman" w:hAnsi="Times New Roman" w:cs="Times New Roman"/>
          <w:color w:val="000000"/>
          <w:sz w:val="20"/>
          <w:szCs w:val="20"/>
          <w:shd w:val="clear" w:color="auto" w:fill="FFFFFF"/>
        </w:rPr>
        <w:t>Киварина М.В., Алейников Д.И. Внешние эффекты: понятие, виды и способы регулирования. Евразийское Научное Объединение. 2021. № 4-3 (74). С. 209-212.</w:t>
      </w:r>
    </w:p>
  </w:footnote>
  <w:footnote w:id="3">
    <w:p w:rsidR="00FA7C81" w:rsidRPr="00FA7C81" w:rsidRDefault="00FA7C81" w:rsidP="00FA7C81">
      <w:pPr>
        <w:spacing w:after="0" w:line="360" w:lineRule="auto"/>
        <w:jc w:val="both"/>
        <w:rPr>
          <w:sz w:val="20"/>
          <w:szCs w:val="20"/>
        </w:rPr>
      </w:pPr>
      <w:r w:rsidRPr="00FA7C81">
        <w:rPr>
          <w:rStyle w:val="a8"/>
          <w:sz w:val="20"/>
          <w:szCs w:val="20"/>
        </w:rPr>
        <w:footnoteRef/>
      </w:r>
      <w:r w:rsidRPr="00FA7C81">
        <w:rPr>
          <w:sz w:val="20"/>
          <w:szCs w:val="20"/>
        </w:rPr>
        <w:t xml:space="preserve"> </w:t>
      </w:r>
      <w:r w:rsidRPr="00FA7C81">
        <w:rPr>
          <w:rFonts w:ascii="Times New Roman" w:hAnsi="Times New Roman" w:cs="Times New Roman"/>
          <w:color w:val="000000"/>
          <w:sz w:val="20"/>
          <w:szCs w:val="20"/>
          <w:shd w:val="clear" w:color="auto" w:fill="FFFFFF"/>
        </w:rPr>
        <w:t>Исаева А.А. Фиаско рынка: игнорирование рынком проблемы внешних эффектов. Аллея науки. 2018. Т. 2. № 2 (18). С. 640-643.</w:t>
      </w:r>
    </w:p>
  </w:footnote>
  <w:footnote w:id="4">
    <w:p w:rsidR="00FA7C81" w:rsidRPr="00FA7C81" w:rsidRDefault="00FA7C81" w:rsidP="00FA7C81">
      <w:pPr>
        <w:spacing w:after="0" w:line="360" w:lineRule="auto"/>
        <w:jc w:val="both"/>
        <w:rPr>
          <w:sz w:val="20"/>
          <w:szCs w:val="20"/>
        </w:rPr>
      </w:pPr>
      <w:r w:rsidRPr="00FA7C81">
        <w:rPr>
          <w:rStyle w:val="a8"/>
          <w:sz w:val="20"/>
          <w:szCs w:val="20"/>
        </w:rPr>
        <w:footnoteRef/>
      </w:r>
      <w:r w:rsidRPr="00FA7C81">
        <w:rPr>
          <w:sz w:val="20"/>
          <w:szCs w:val="20"/>
        </w:rPr>
        <w:t xml:space="preserve"> </w:t>
      </w:r>
      <w:r w:rsidRPr="00FA7C81">
        <w:rPr>
          <w:rFonts w:ascii="Times New Roman" w:hAnsi="Times New Roman" w:cs="Times New Roman"/>
          <w:color w:val="000000"/>
          <w:sz w:val="20"/>
          <w:szCs w:val="20"/>
          <w:shd w:val="clear" w:color="auto" w:fill="FFFFFF"/>
        </w:rPr>
        <w:t>Клинова С.П., Костылева В.И. Роль устойчивого финансирования в решении проблемы отрицательных внешних эффектов. Современная экономика: проблемы и решения. 2020. № 8 (128). С. 100-108.</w:t>
      </w:r>
    </w:p>
  </w:footnote>
  <w:footnote w:id="5">
    <w:p w:rsidR="00FA7C81" w:rsidRPr="00FA7C81" w:rsidRDefault="00FA7C81" w:rsidP="00FA7C81">
      <w:pPr>
        <w:spacing w:after="0" w:line="360" w:lineRule="auto"/>
        <w:jc w:val="both"/>
        <w:rPr>
          <w:sz w:val="20"/>
          <w:szCs w:val="20"/>
        </w:rPr>
      </w:pPr>
      <w:r w:rsidRPr="00FA7C81">
        <w:rPr>
          <w:rStyle w:val="a8"/>
          <w:sz w:val="20"/>
          <w:szCs w:val="20"/>
        </w:rPr>
        <w:footnoteRef/>
      </w:r>
      <w:r w:rsidRPr="00FA7C81">
        <w:rPr>
          <w:sz w:val="20"/>
          <w:szCs w:val="20"/>
        </w:rPr>
        <w:t xml:space="preserve"> </w:t>
      </w:r>
      <w:r w:rsidRPr="00FA7C81">
        <w:rPr>
          <w:rFonts w:ascii="Times New Roman" w:hAnsi="Times New Roman" w:cs="Times New Roman"/>
          <w:color w:val="000000"/>
          <w:sz w:val="20"/>
          <w:szCs w:val="20"/>
          <w:shd w:val="clear" w:color="auto" w:fill="FFFFFF"/>
        </w:rPr>
        <w:t>Костылева В.И. О проблеме внешних эффектов и ее решении. В сборнике: Актуальные проблемы развития отраслевых рынков: национальный и региональный уровень. Сборник статей III Международной научно-практической конференции. Ответственный редактор Т.Н. Гоголева. 2019. С. 107-110.</w:t>
      </w:r>
    </w:p>
  </w:footnote>
  <w:footnote w:id="6">
    <w:p w:rsidR="00FA7C81" w:rsidRPr="00FA7C81" w:rsidRDefault="00FA7C81" w:rsidP="00FA7C81">
      <w:pPr>
        <w:spacing w:after="0" w:line="360" w:lineRule="auto"/>
        <w:jc w:val="both"/>
        <w:rPr>
          <w:sz w:val="20"/>
          <w:szCs w:val="20"/>
        </w:rPr>
      </w:pPr>
      <w:r w:rsidRPr="00FA7C81">
        <w:rPr>
          <w:rStyle w:val="a8"/>
          <w:sz w:val="20"/>
          <w:szCs w:val="20"/>
        </w:rPr>
        <w:footnoteRef/>
      </w:r>
      <w:r w:rsidRPr="00FA7C81">
        <w:rPr>
          <w:sz w:val="20"/>
          <w:szCs w:val="20"/>
        </w:rPr>
        <w:t xml:space="preserve"> </w:t>
      </w:r>
      <w:r w:rsidRPr="00FA7C81">
        <w:rPr>
          <w:rFonts w:ascii="Times New Roman" w:hAnsi="Times New Roman" w:cs="Times New Roman"/>
          <w:color w:val="000000"/>
          <w:sz w:val="20"/>
          <w:szCs w:val="20"/>
          <w:shd w:val="clear" w:color="auto" w:fill="FFFFFF"/>
        </w:rPr>
        <w:t>Чернова Г.В., Алленова Е.А., Сидоров В.В. Проявление изменчивости количественных признаков в контексте изучения эффектов факторов внешней среды. В сборнике: ЦИфровая экономика и экономика знаний: общественные, естественнонаучные и технологические аспекты. Сборник статей Международной научно-практической конференции. 2018. С. 355-358.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B3E54"/>
    <w:multiLevelType w:val="hybridMultilevel"/>
    <w:tmpl w:val="AC2CB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1D2282E"/>
    <w:multiLevelType w:val="hybridMultilevel"/>
    <w:tmpl w:val="67DCBF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5E22021"/>
    <w:multiLevelType w:val="hybridMultilevel"/>
    <w:tmpl w:val="81F031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3076227"/>
    <w:multiLevelType w:val="hybridMultilevel"/>
    <w:tmpl w:val="91D4D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B6"/>
    <w:rsid w:val="00071438"/>
    <w:rsid w:val="002843DF"/>
    <w:rsid w:val="00753C13"/>
    <w:rsid w:val="007868B6"/>
    <w:rsid w:val="00846742"/>
    <w:rsid w:val="008A3A31"/>
    <w:rsid w:val="00C125F4"/>
    <w:rsid w:val="00F618D7"/>
    <w:rsid w:val="00FA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9E5E"/>
  <w15:chartTrackingRefBased/>
  <w15:docId w15:val="{04F4E104-1F02-4624-AE7E-66BB8CF4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A31"/>
    <w:rPr>
      <w:rFonts w:asciiTheme="majorHAnsi" w:eastAsiaTheme="majorEastAsia" w:hAnsiTheme="majorHAnsi" w:cstheme="majorBidi"/>
      <w:color w:val="2E74B5" w:themeColor="accent1" w:themeShade="BF"/>
      <w:sz w:val="32"/>
      <w:szCs w:val="32"/>
    </w:rPr>
  </w:style>
  <w:style w:type="paragraph" w:customStyle="1" w:styleId="para">
    <w:name w:val="para"/>
    <w:basedOn w:val="a"/>
    <w:rsid w:val="00753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ginterm">
    <w:name w:val="margin_term"/>
    <w:basedOn w:val="a0"/>
    <w:rsid w:val="00753C13"/>
  </w:style>
  <w:style w:type="character" w:customStyle="1" w:styleId="footnote">
    <w:name w:val="footnote"/>
    <w:basedOn w:val="a0"/>
    <w:rsid w:val="00753C13"/>
  </w:style>
  <w:style w:type="paragraph" w:styleId="a3">
    <w:name w:val="TOC Heading"/>
    <w:basedOn w:val="1"/>
    <w:next w:val="a"/>
    <w:uiPriority w:val="39"/>
    <w:unhideWhenUsed/>
    <w:qFormat/>
    <w:rsid w:val="00FA7C81"/>
    <w:pPr>
      <w:outlineLvl w:val="9"/>
    </w:pPr>
    <w:rPr>
      <w:lang w:eastAsia="ru-RU"/>
    </w:rPr>
  </w:style>
  <w:style w:type="paragraph" w:styleId="11">
    <w:name w:val="toc 1"/>
    <w:basedOn w:val="a"/>
    <w:next w:val="a"/>
    <w:autoRedefine/>
    <w:uiPriority w:val="39"/>
    <w:unhideWhenUsed/>
    <w:rsid w:val="00FA7C81"/>
    <w:pPr>
      <w:spacing w:after="100"/>
    </w:pPr>
  </w:style>
  <w:style w:type="character" w:styleId="a4">
    <w:name w:val="Hyperlink"/>
    <w:basedOn w:val="a0"/>
    <w:uiPriority w:val="99"/>
    <w:unhideWhenUsed/>
    <w:rsid w:val="00FA7C81"/>
    <w:rPr>
      <w:color w:val="0563C1" w:themeColor="hyperlink"/>
      <w:u w:val="single"/>
    </w:rPr>
  </w:style>
  <w:style w:type="paragraph" w:styleId="a5">
    <w:name w:val="List Paragraph"/>
    <w:basedOn w:val="a"/>
    <w:uiPriority w:val="34"/>
    <w:qFormat/>
    <w:rsid w:val="00FA7C81"/>
    <w:pPr>
      <w:ind w:left="720"/>
      <w:contextualSpacing/>
    </w:pPr>
  </w:style>
  <w:style w:type="paragraph" w:styleId="a6">
    <w:name w:val="footnote text"/>
    <w:basedOn w:val="a"/>
    <w:link w:val="a7"/>
    <w:uiPriority w:val="99"/>
    <w:semiHidden/>
    <w:unhideWhenUsed/>
    <w:rsid w:val="00FA7C81"/>
    <w:pPr>
      <w:spacing w:after="0" w:line="240" w:lineRule="auto"/>
    </w:pPr>
    <w:rPr>
      <w:sz w:val="20"/>
      <w:szCs w:val="20"/>
    </w:rPr>
  </w:style>
  <w:style w:type="character" w:customStyle="1" w:styleId="a7">
    <w:name w:val="Текст сноски Знак"/>
    <w:basedOn w:val="a0"/>
    <w:link w:val="a6"/>
    <w:uiPriority w:val="99"/>
    <w:semiHidden/>
    <w:rsid w:val="00FA7C81"/>
    <w:rPr>
      <w:sz w:val="20"/>
      <w:szCs w:val="20"/>
    </w:rPr>
  </w:style>
  <w:style w:type="character" w:styleId="a8">
    <w:name w:val="footnote reference"/>
    <w:basedOn w:val="a0"/>
    <w:uiPriority w:val="99"/>
    <w:semiHidden/>
    <w:unhideWhenUsed/>
    <w:rsid w:val="00FA7C81"/>
    <w:rPr>
      <w:vertAlign w:val="superscript"/>
    </w:rPr>
  </w:style>
  <w:style w:type="character" w:customStyle="1" w:styleId="company-name">
    <w:name w:val="company-name"/>
    <w:basedOn w:val="a0"/>
    <w:rsid w:val="00F618D7"/>
  </w:style>
  <w:style w:type="paragraph" w:styleId="2">
    <w:name w:val="Body Text Indent 2"/>
    <w:basedOn w:val="a"/>
    <w:link w:val="20"/>
    <w:uiPriority w:val="99"/>
    <w:rsid w:val="00F618D7"/>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rsid w:val="00F618D7"/>
    <w:rPr>
      <w:rFonts w:ascii="Times New Roman" w:eastAsia="Times New Roman" w:hAnsi="Times New Roman" w:cs="Times New Roman"/>
      <w:sz w:val="28"/>
      <w:szCs w:val="24"/>
      <w:lang w:eastAsia="ru-RU"/>
    </w:rPr>
  </w:style>
  <w:style w:type="paragraph" w:styleId="a9">
    <w:name w:val="header"/>
    <w:basedOn w:val="a"/>
    <w:link w:val="aa"/>
    <w:uiPriority w:val="99"/>
    <w:unhideWhenUsed/>
    <w:rsid w:val="00F618D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18D7"/>
  </w:style>
  <w:style w:type="paragraph" w:styleId="ab">
    <w:name w:val="footer"/>
    <w:basedOn w:val="a"/>
    <w:link w:val="ac"/>
    <w:uiPriority w:val="99"/>
    <w:unhideWhenUsed/>
    <w:rsid w:val="00F618D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6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96521">
      <w:bodyDiv w:val="1"/>
      <w:marLeft w:val="0"/>
      <w:marRight w:val="0"/>
      <w:marTop w:val="0"/>
      <w:marBottom w:val="0"/>
      <w:divBdr>
        <w:top w:val="none" w:sz="0" w:space="0" w:color="auto"/>
        <w:left w:val="none" w:sz="0" w:space="0" w:color="auto"/>
        <w:bottom w:val="none" w:sz="0" w:space="0" w:color="auto"/>
        <w:right w:val="none" w:sz="0" w:space="0" w:color="auto"/>
      </w:divBdr>
    </w:div>
    <w:div w:id="1862622909">
      <w:bodyDiv w:val="1"/>
      <w:marLeft w:val="0"/>
      <w:marRight w:val="0"/>
      <w:marTop w:val="0"/>
      <w:marBottom w:val="0"/>
      <w:divBdr>
        <w:top w:val="none" w:sz="0" w:space="0" w:color="auto"/>
        <w:left w:val="none" w:sz="0" w:space="0" w:color="auto"/>
        <w:bottom w:val="none" w:sz="0" w:space="0" w:color="auto"/>
        <w:right w:val="none" w:sz="0" w:space="0" w:color="auto"/>
      </w:divBdr>
      <w:divsChild>
        <w:div w:id="1113942771">
          <w:marLeft w:val="-15"/>
          <w:marRight w:val="-15"/>
          <w:marTop w:val="0"/>
          <w:marBottom w:val="0"/>
          <w:divBdr>
            <w:top w:val="none" w:sz="0" w:space="0" w:color="auto"/>
            <w:left w:val="none" w:sz="0" w:space="0" w:color="auto"/>
            <w:bottom w:val="none" w:sz="0" w:space="0" w:color="auto"/>
            <w:right w:val="none" w:sz="0" w:space="0" w:color="auto"/>
          </w:divBdr>
        </w:div>
        <w:div w:id="598877596">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F99E-CA14-4DD9-A319-CFFB26B4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2676</Words>
  <Characters>15259</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1. Составить блок-схему (опорный конспект) по теме: «Равновесие и ценообразовани</vt:lpstr>
      <vt:lpstr>2. Эссе на тему: «Возможно ли решение проблемы внешних эффектов»</vt:lpstr>
      <vt:lpstr>3. Составить кейс на тему: «Источники финансирования российских фирм»</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2021-12-07T03:30:00Z</dcterms:created>
  <dcterms:modified xsi:type="dcterms:W3CDTF">2021-12-07T09:37:00Z</dcterms:modified>
</cp:coreProperties>
</file>